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0BCC1" w14:textId="75DDB798" w:rsidR="00280201" w:rsidRDefault="00902CBA">
      <w:pPr>
        <w:rPr>
          <w:rFonts w:asciiTheme="majorHAnsi" w:eastAsiaTheme="majorEastAsia" w:hAnsiTheme="majorHAnsi" w:cstheme="majorBidi"/>
          <w:color w:val="365F91" w:themeColor="accent1" w:themeShade="BF"/>
          <w:sz w:val="32"/>
          <w:szCs w:val="32"/>
        </w:rPr>
      </w:pPr>
      <w:r w:rsidRPr="00902CBA">
        <w:rPr>
          <w:noProof/>
        </w:rPr>
        <w:drawing>
          <wp:inline distT="0" distB="0" distL="0" distR="0" wp14:anchorId="55D9366E" wp14:editId="3C64C954">
            <wp:extent cx="5943600" cy="7861935"/>
            <wp:effectExtent l="0" t="0" r="0" b="5715"/>
            <wp:docPr id="7058667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66762" name=""/>
                    <pic:cNvPicPr/>
                  </pic:nvPicPr>
                  <pic:blipFill>
                    <a:blip r:embed="rId11"/>
                    <a:stretch>
                      <a:fillRect/>
                    </a:stretch>
                  </pic:blipFill>
                  <pic:spPr>
                    <a:xfrm>
                      <a:off x="0" y="0"/>
                      <a:ext cx="5943600" cy="7861935"/>
                    </a:xfrm>
                    <a:prstGeom prst="rect">
                      <a:avLst/>
                    </a:prstGeom>
                  </pic:spPr>
                </pic:pic>
              </a:graphicData>
            </a:graphic>
          </wp:inline>
        </w:drawing>
      </w:r>
      <w:r w:rsidR="00280201">
        <w:br w:type="page"/>
      </w:r>
    </w:p>
    <w:sdt>
      <w:sdtPr>
        <w:rPr>
          <w:rFonts w:ascii="Arial" w:eastAsia="Arial" w:hAnsi="Arial" w:cs="Arial"/>
          <w:color w:val="auto"/>
          <w:sz w:val="22"/>
          <w:szCs w:val="22"/>
        </w:rPr>
        <w:id w:val="-790284461"/>
        <w:docPartObj>
          <w:docPartGallery w:val="Table of Contents"/>
          <w:docPartUnique/>
        </w:docPartObj>
      </w:sdtPr>
      <w:sdtEndPr>
        <w:rPr>
          <w:b/>
          <w:bCs/>
        </w:rPr>
      </w:sdtEndPr>
      <w:sdtContent>
        <w:p w14:paraId="28FD0201" w14:textId="2C105A30" w:rsidR="00A851EF" w:rsidRDefault="00A851EF">
          <w:pPr>
            <w:pStyle w:val="Kopvaninhoudsopgave"/>
          </w:pPr>
          <w:r>
            <w:t>Inhoud</w:t>
          </w:r>
        </w:p>
        <w:p w14:paraId="74D98327" w14:textId="6CA4F7E2" w:rsidR="00B12B0F" w:rsidRDefault="00A851EF">
          <w:pPr>
            <w:pStyle w:val="Inhopg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4774296" w:history="1">
            <w:r w:rsidR="00B12B0F" w:rsidRPr="006B405C">
              <w:rPr>
                <w:rStyle w:val="Hyperlink"/>
                <w:noProof/>
              </w:rPr>
              <w:t>Hoofdstuk 1: Executive Summary –De Investeringspropositie</w:t>
            </w:r>
            <w:r w:rsidR="00B12B0F">
              <w:rPr>
                <w:noProof/>
                <w:webHidden/>
              </w:rPr>
              <w:tab/>
            </w:r>
            <w:r w:rsidR="00B12B0F">
              <w:rPr>
                <w:noProof/>
                <w:webHidden/>
              </w:rPr>
              <w:fldChar w:fldCharType="begin"/>
            </w:r>
            <w:r w:rsidR="00B12B0F">
              <w:rPr>
                <w:noProof/>
                <w:webHidden/>
              </w:rPr>
              <w:instrText xml:space="preserve"> PAGEREF _Toc204774296 \h </w:instrText>
            </w:r>
            <w:r w:rsidR="00B12B0F">
              <w:rPr>
                <w:noProof/>
                <w:webHidden/>
              </w:rPr>
            </w:r>
            <w:r w:rsidR="00B12B0F">
              <w:rPr>
                <w:noProof/>
                <w:webHidden/>
              </w:rPr>
              <w:fldChar w:fldCharType="separate"/>
            </w:r>
            <w:r w:rsidR="00B12B0F">
              <w:rPr>
                <w:noProof/>
                <w:webHidden/>
              </w:rPr>
              <w:t>4</w:t>
            </w:r>
            <w:r w:rsidR="00B12B0F">
              <w:rPr>
                <w:noProof/>
                <w:webHidden/>
              </w:rPr>
              <w:fldChar w:fldCharType="end"/>
            </w:r>
          </w:hyperlink>
        </w:p>
        <w:p w14:paraId="57896A0D" w14:textId="506CFD16"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297" w:history="1">
            <w:r w:rsidRPr="006B405C">
              <w:rPr>
                <w:rStyle w:val="Hyperlink"/>
                <w:noProof/>
              </w:rPr>
              <w:t>De Gouden Kans: Een Paradigmaverschuiving</w:t>
            </w:r>
            <w:r>
              <w:rPr>
                <w:noProof/>
                <w:webHidden/>
              </w:rPr>
              <w:tab/>
            </w:r>
            <w:r>
              <w:rPr>
                <w:noProof/>
                <w:webHidden/>
              </w:rPr>
              <w:fldChar w:fldCharType="begin"/>
            </w:r>
            <w:r>
              <w:rPr>
                <w:noProof/>
                <w:webHidden/>
              </w:rPr>
              <w:instrText xml:space="preserve"> PAGEREF _Toc204774297 \h </w:instrText>
            </w:r>
            <w:r>
              <w:rPr>
                <w:noProof/>
                <w:webHidden/>
              </w:rPr>
            </w:r>
            <w:r>
              <w:rPr>
                <w:noProof/>
                <w:webHidden/>
              </w:rPr>
              <w:fldChar w:fldCharType="separate"/>
            </w:r>
            <w:r>
              <w:rPr>
                <w:noProof/>
                <w:webHidden/>
              </w:rPr>
              <w:t>4</w:t>
            </w:r>
            <w:r>
              <w:rPr>
                <w:noProof/>
                <w:webHidden/>
              </w:rPr>
              <w:fldChar w:fldCharType="end"/>
            </w:r>
          </w:hyperlink>
        </w:p>
        <w:p w14:paraId="4DB64A5D" w14:textId="351A7098"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298" w:history="1">
            <w:r w:rsidRPr="006B405C">
              <w:rPr>
                <w:rStyle w:val="Hyperlink"/>
                <w:noProof/>
              </w:rPr>
              <w:t>Kernboodschap van "De Gouden Kansen van Nu"</w:t>
            </w:r>
            <w:r>
              <w:rPr>
                <w:noProof/>
                <w:webHidden/>
              </w:rPr>
              <w:tab/>
            </w:r>
            <w:r>
              <w:rPr>
                <w:noProof/>
                <w:webHidden/>
              </w:rPr>
              <w:fldChar w:fldCharType="begin"/>
            </w:r>
            <w:r>
              <w:rPr>
                <w:noProof/>
                <w:webHidden/>
              </w:rPr>
              <w:instrText xml:space="preserve"> PAGEREF _Toc204774298 \h </w:instrText>
            </w:r>
            <w:r>
              <w:rPr>
                <w:noProof/>
                <w:webHidden/>
              </w:rPr>
            </w:r>
            <w:r>
              <w:rPr>
                <w:noProof/>
                <w:webHidden/>
              </w:rPr>
              <w:fldChar w:fldCharType="separate"/>
            </w:r>
            <w:r>
              <w:rPr>
                <w:noProof/>
                <w:webHidden/>
              </w:rPr>
              <w:t>5</w:t>
            </w:r>
            <w:r>
              <w:rPr>
                <w:noProof/>
                <w:webHidden/>
              </w:rPr>
              <w:fldChar w:fldCharType="end"/>
            </w:r>
          </w:hyperlink>
        </w:p>
        <w:p w14:paraId="654FC33A" w14:textId="070AF001"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299" w:history="1">
            <w:r w:rsidRPr="006B405C">
              <w:rPr>
                <w:rStyle w:val="Hyperlink"/>
                <w:noProof/>
              </w:rPr>
              <w:t>Top 3 Strategische Aanbevelingen</w:t>
            </w:r>
            <w:r>
              <w:rPr>
                <w:noProof/>
                <w:webHidden/>
              </w:rPr>
              <w:tab/>
            </w:r>
            <w:r>
              <w:rPr>
                <w:noProof/>
                <w:webHidden/>
              </w:rPr>
              <w:fldChar w:fldCharType="begin"/>
            </w:r>
            <w:r>
              <w:rPr>
                <w:noProof/>
                <w:webHidden/>
              </w:rPr>
              <w:instrText xml:space="preserve"> PAGEREF _Toc204774299 \h </w:instrText>
            </w:r>
            <w:r>
              <w:rPr>
                <w:noProof/>
                <w:webHidden/>
              </w:rPr>
            </w:r>
            <w:r>
              <w:rPr>
                <w:noProof/>
                <w:webHidden/>
              </w:rPr>
              <w:fldChar w:fldCharType="separate"/>
            </w:r>
            <w:r>
              <w:rPr>
                <w:noProof/>
                <w:webHidden/>
              </w:rPr>
              <w:t>5</w:t>
            </w:r>
            <w:r>
              <w:rPr>
                <w:noProof/>
                <w:webHidden/>
              </w:rPr>
              <w:fldChar w:fldCharType="end"/>
            </w:r>
          </w:hyperlink>
        </w:p>
        <w:p w14:paraId="4001620F" w14:textId="00787E6E"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00" w:history="1">
            <w:r w:rsidRPr="006B405C">
              <w:rPr>
                <w:rStyle w:val="Hyperlink"/>
                <w:noProof/>
              </w:rPr>
              <w:t>Dumaguete, Filipijnen:</w:t>
            </w:r>
            <w:r>
              <w:rPr>
                <w:noProof/>
                <w:webHidden/>
              </w:rPr>
              <w:tab/>
            </w:r>
            <w:r>
              <w:rPr>
                <w:noProof/>
                <w:webHidden/>
              </w:rPr>
              <w:fldChar w:fldCharType="begin"/>
            </w:r>
            <w:r>
              <w:rPr>
                <w:noProof/>
                <w:webHidden/>
              </w:rPr>
              <w:instrText xml:space="preserve"> PAGEREF _Toc204774300 \h </w:instrText>
            </w:r>
            <w:r>
              <w:rPr>
                <w:noProof/>
                <w:webHidden/>
              </w:rPr>
            </w:r>
            <w:r>
              <w:rPr>
                <w:noProof/>
                <w:webHidden/>
              </w:rPr>
              <w:fldChar w:fldCharType="separate"/>
            </w:r>
            <w:r>
              <w:rPr>
                <w:noProof/>
                <w:webHidden/>
              </w:rPr>
              <w:t>5</w:t>
            </w:r>
            <w:r>
              <w:rPr>
                <w:noProof/>
                <w:webHidden/>
              </w:rPr>
              <w:fldChar w:fldCharType="end"/>
            </w:r>
          </w:hyperlink>
        </w:p>
        <w:p w14:paraId="101BB910" w14:textId="1F3E7C45"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01" w:history="1">
            <w:r w:rsidRPr="006B405C">
              <w:rPr>
                <w:rStyle w:val="Hyperlink"/>
                <w:noProof/>
              </w:rPr>
              <w:t>Landelijk Albanië:</w:t>
            </w:r>
            <w:r>
              <w:rPr>
                <w:noProof/>
                <w:webHidden/>
              </w:rPr>
              <w:tab/>
            </w:r>
            <w:r>
              <w:rPr>
                <w:noProof/>
                <w:webHidden/>
              </w:rPr>
              <w:fldChar w:fldCharType="begin"/>
            </w:r>
            <w:r>
              <w:rPr>
                <w:noProof/>
                <w:webHidden/>
              </w:rPr>
              <w:instrText xml:space="preserve"> PAGEREF _Toc204774301 \h </w:instrText>
            </w:r>
            <w:r>
              <w:rPr>
                <w:noProof/>
                <w:webHidden/>
              </w:rPr>
            </w:r>
            <w:r>
              <w:rPr>
                <w:noProof/>
                <w:webHidden/>
              </w:rPr>
              <w:fldChar w:fldCharType="separate"/>
            </w:r>
            <w:r>
              <w:rPr>
                <w:noProof/>
                <w:webHidden/>
              </w:rPr>
              <w:t>6</w:t>
            </w:r>
            <w:r>
              <w:rPr>
                <w:noProof/>
                <w:webHidden/>
              </w:rPr>
              <w:fldChar w:fldCharType="end"/>
            </w:r>
          </w:hyperlink>
        </w:p>
        <w:p w14:paraId="1297459A" w14:textId="0BD29185"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02" w:history="1">
            <w:r w:rsidRPr="006B405C">
              <w:rPr>
                <w:rStyle w:val="Hyperlink"/>
                <w:noProof/>
              </w:rPr>
              <w:t>Landelijk Colombia (Koffie-as):</w:t>
            </w:r>
            <w:r>
              <w:rPr>
                <w:noProof/>
                <w:webHidden/>
              </w:rPr>
              <w:tab/>
            </w:r>
            <w:r>
              <w:rPr>
                <w:noProof/>
                <w:webHidden/>
              </w:rPr>
              <w:fldChar w:fldCharType="begin"/>
            </w:r>
            <w:r>
              <w:rPr>
                <w:noProof/>
                <w:webHidden/>
              </w:rPr>
              <w:instrText xml:space="preserve"> PAGEREF _Toc204774302 \h </w:instrText>
            </w:r>
            <w:r>
              <w:rPr>
                <w:noProof/>
                <w:webHidden/>
              </w:rPr>
            </w:r>
            <w:r>
              <w:rPr>
                <w:noProof/>
                <w:webHidden/>
              </w:rPr>
              <w:fldChar w:fldCharType="separate"/>
            </w:r>
            <w:r>
              <w:rPr>
                <w:noProof/>
                <w:webHidden/>
              </w:rPr>
              <w:t>6</w:t>
            </w:r>
            <w:r>
              <w:rPr>
                <w:noProof/>
                <w:webHidden/>
              </w:rPr>
              <w:fldChar w:fldCharType="end"/>
            </w:r>
          </w:hyperlink>
        </w:p>
        <w:p w14:paraId="5055CD8E" w14:textId="3BF32068"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03" w:history="1">
            <w:r w:rsidRPr="006B405C">
              <w:rPr>
                <w:rStyle w:val="Hyperlink"/>
                <w:noProof/>
              </w:rPr>
              <w:t>Unieke Waardecreatie &amp; Concurrentievoordeel</w:t>
            </w:r>
            <w:r>
              <w:rPr>
                <w:noProof/>
                <w:webHidden/>
              </w:rPr>
              <w:tab/>
            </w:r>
            <w:r>
              <w:rPr>
                <w:noProof/>
                <w:webHidden/>
              </w:rPr>
              <w:fldChar w:fldCharType="begin"/>
            </w:r>
            <w:r>
              <w:rPr>
                <w:noProof/>
                <w:webHidden/>
              </w:rPr>
              <w:instrText xml:space="preserve"> PAGEREF _Toc204774303 \h </w:instrText>
            </w:r>
            <w:r>
              <w:rPr>
                <w:noProof/>
                <w:webHidden/>
              </w:rPr>
            </w:r>
            <w:r>
              <w:rPr>
                <w:noProof/>
                <w:webHidden/>
              </w:rPr>
              <w:fldChar w:fldCharType="separate"/>
            </w:r>
            <w:r>
              <w:rPr>
                <w:noProof/>
                <w:webHidden/>
              </w:rPr>
              <w:t>6</w:t>
            </w:r>
            <w:r>
              <w:rPr>
                <w:noProof/>
                <w:webHidden/>
              </w:rPr>
              <w:fldChar w:fldCharType="end"/>
            </w:r>
          </w:hyperlink>
        </w:p>
        <w:p w14:paraId="06BBABAA" w14:textId="1E996B60" w:rsidR="00B12B0F" w:rsidRDefault="00B12B0F">
          <w:pPr>
            <w:pStyle w:val="Inhopg1"/>
            <w:tabs>
              <w:tab w:val="right" w:leader="dot" w:pos="9350"/>
            </w:tabs>
            <w:rPr>
              <w:rFonts w:asciiTheme="minorHAnsi" w:eastAsiaTheme="minorEastAsia" w:hAnsiTheme="minorHAnsi" w:cstheme="minorBidi"/>
              <w:noProof/>
              <w:kern w:val="2"/>
              <w:sz w:val="24"/>
              <w:szCs w:val="24"/>
              <w14:ligatures w14:val="standardContextual"/>
            </w:rPr>
          </w:pPr>
          <w:hyperlink w:anchor="_Toc204774304" w:history="1">
            <w:r w:rsidRPr="006B405C">
              <w:rPr>
                <w:rStyle w:val="Hyperlink"/>
                <w:noProof/>
              </w:rPr>
              <w:t>Hoofdstuk 2: Methodologie &amp; Analytische Fundering</w:t>
            </w:r>
            <w:r>
              <w:rPr>
                <w:noProof/>
                <w:webHidden/>
              </w:rPr>
              <w:tab/>
            </w:r>
            <w:r>
              <w:rPr>
                <w:noProof/>
                <w:webHidden/>
              </w:rPr>
              <w:fldChar w:fldCharType="begin"/>
            </w:r>
            <w:r>
              <w:rPr>
                <w:noProof/>
                <w:webHidden/>
              </w:rPr>
              <w:instrText xml:space="preserve"> PAGEREF _Toc204774304 \h </w:instrText>
            </w:r>
            <w:r>
              <w:rPr>
                <w:noProof/>
                <w:webHidden/>
              </w:rPr>
            </w:r>
            <w:r>
              <w:rPr>
                <w:noProof/>
                <w:webHidden/>
              </w:rPr>
              <w:fldChar w:fldCharType="separate"/>
            </w:r>
            <w:r>
              <w:rPr>
                <w:noProof/>
                <w:webHidden/>
              </w:rPr>
              <w:t>8</w:t>
            </w:r>
            <w:r>
              <w:rPr>
                <w:noProof/>
                <w:webHidden/>
              </w:rPr>
              <w:fldChar w:fldCharType="end"/>
            </w:r>
          </w:hyperlink>
        </w:p>
        <w:p w14:paraId="68B53B86" w14:textId="1978460F"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05" w:history="1">
            <w:r w:rsidRPr="006B405C">
              <w:rPr>
                <w:rStyle w:val="Hyperlink"/>
                <w:noProof/>
              </w:rPr>
              <w:t>Data-gedreven Investeringsstrategie</w:t>
            </w:r>
            <w:r>
              <w:rPr>
                <w:noProof/>
                <w:webHidden/>
              </w:rPr>
              <w:tab/>
            </w:r>
            <w:r>
              <w:rPr>
                <w:noProof/>
                <w:webHidden/>
              </w:rPr>
              <w:fldChar w:fldCharType="begin"/>
            </w:r>
            <w:r>
              <w:rPr>
                <w:noProof/>
                <w:webHidden/>
              </w:rPr>
              <w:instrText xml:space="preserve"> PAGEREF _Toc204774305 \h </w:instrText>
            </w:r>
            <w:r>
              <w:rPr>
                <w:noProof/>
                <w:webHidden/>
              </w:rPr>
            </w:r>
            <w:r>
              <w:rPr>
                <w:noProof/>
                <w:webHidden/>
              </w:rPr>
              <w:fldChar w:fldCharType="separate"/>
            </w:r>
            <w:r>
              <w:rPr>
                <w:noProof/>
                <w:webHidden/>
              </w:rPr>
              <w:t>8</w:t>
            </w:r>
            <w:r>
              <w:rPr>
                <w:noProof/>
                <w:webHidden/>
              </w:rPr>
              <w:fldChar w:fldCharType="end"/>
            </w:r>
          </w:hyperlink>
        </w:p>
        <w:p w14:paraId="0BB96850" w14:textId="2E22A4B3"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06" w:history="1">
            <w:r w:rsidRPr="006B405C">
              <w:rPr>
                <w:rStyle w:val="Hyperlink"/>
                <w:noProof/>
              </w:rPr>
              <w:t>Dataverwerking</w:t>
            </w:r>
            <w:r>
              <w:rPr>
                <w:noProof/>
                <w:webHidden/>
              </w:rPr>
              <w:tab/>
            </w:r>
            <w:r>
              <w:rPr>
                <w:noProof/>
                <w:webHidden/>
              </w:rPr>
              <w:fldChar w:fldCharType="begin"/>
            </w:r>
            <w:r>
              <w:rPr>
                <w:noProof/>
                <w:webHidden/>
              </w:rPr>
              <w:instrText xml:space="preserve"> PAGEREF _Toc204774306 \h </w:instrText>
            </w:r>
            <w:r>
              <w:rPr>
                <w:noProof/>
                <w:webHidden/>
              </w:rPr>
            </w:r>
            <w:r>
              <w:rPr>
                <w:noProof/>
                <w:webHidden/>
              </w:rPr>
              <w:fldChar w:fldCharType="separate"/>
            </w:r>
            <w:r>
              <w:rPr>
                <w:noProof/>
                <w:webHidden/>
              </w:rPr>
              <w:t>9</w:t>
            </w:r>
            <w:r>
              <w:rPr>
                <w:noProof/>
                <w:webHidden/>
              </w:rPr>
              <w:fldChar w:fldCharType="end"/>
            </w:r>
          </w:hyperlink>
        </w:p>
        <w:p w14:paraId="62E3765D" w14:textId="034CA300"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07" w:history="1">
            <w:r w:rsidRPr="006B405C">
              <w:rPr>
                <w:rStyle w:val="Hyperlink"/>
                <w:noProof/>
              </w:rPr>
              <w:t>Kwantitatieve Modellen</w:t>
            </w:r>
            <w:r>
              <w:rPr>
                <w:noProof/>
                <w:webHidden/>
              </w:rPr>
              <w:tab/>
            </w:r>
            <w:r>
              <w:rPr>
                <w:noProof/>
                <w:webHidden/>
              </w:rPr>
              <w:fldChar w:fldCharType="begin"/>
            </w:r>
            <w:r>
              <w:rPr>
                <w:noProof/>
                <w:webHidden/>
              </w:rPr>
              <w:instrText xml:space="preserve"> PAGEREF _Toc204774307 \h </w:instrText>
            </w:r>
            <w:r>
              <w:rPr>
                <w:noProof/>
                <w:webHidden/>
              </w:rPr>
            </w:r>
            <w:r>
              <w:rPr>
                <w:noProof/>
                <w:webHidden/>
              </w:rPr>
              <w:fldChar w:fldCharType="separate"/>
            </w:r>
            <w:r>
              <w:rPr>
                <w:noProof/>
                <w:webHidden/>
              </w:rPr>
              <w:t>10</w:t>
            </w:r>
            <w:r>
              <w:rPr>
                <w:noProof/>
                <w:webHidden/>
              </w:rPr>
              <w:fldChar w:fldCharType="end"/>
            </w:r>
          </w:hyperlink>
        </w:p>
        <w:p w14:paraId="4B40BB8E" w14:textId="17085311"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08" w:history="1">
            <w:r w:rsidRPr="006B405C">
              <w:rPr>
                <w:rStyle w:val="Hyperlink"/>
                <w:rFonts w:ascii="Google Sans" w:eastAsia="Google Sans" w:hAnsi="Google Sans" w:cs="Google Sans"/>
                <w:noProof/>
              </w:rPr>
              <w:t>Gedetailleerde Selectiecriteria &amp; Scoringmodel</w:t>
            </w:r>
            <w:r>
              <w:rPr>
                <w:noProof/>
                <w:webHidden/>
              </w:rPr>
              <w:tab/>
            </w:r>
            <w:r>
              <w:rPr>
                <w:noProof/>
                <w:webHidden/>
              </w:rPr>
              <w:fldChar w:fldCharType="begin"/>
            </w:r>
            <w:r>
              <w:rPr>
                <w:noProof/>
                <w:webHidden/>
              </w:rPr>
              <w:instrText xml:space="preserve"> PAGEREF _Toc204774308 \h </w:instrText>
            </w:r>
            <w:r>
              <w:rPr>
                <w:noProof/>
                <w:webHidden/>
              </w:rPr>
            </w:r>
            <w:r>
              <w:rPr>
                <w:noProof/>
                <w:webHidden/>
              </w:rPr>
              <w:fldChar w:fldCharType="separate"/>
            </w:r>
            <w:r>
              <w:rPr>
                <w:noProof/>
                <w:webHidden/>
              </w:rPr>
              <w:t>10</w:t>
            </w:r>
            <w:r>
              <w:rPr>
                <w:noProof/>
                <w:webHidden/>
              </w:rPr>
              <w:fldChar w:fldCharType="end"/>
            </w:r>
          </w:hyperlink>
        </w:p>
        <w:p w14:paraId="0D681466" w14:textId="5BF67989"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09" w:history="1">
            <w:r w:rsidRPr="006B405C">
              <w:rPr>
                <w:rStyle w:val="Hyperlink"/>
                <w:noProof/>
              </w:rPr>
              <w:t>Operationele Definitie, Drempelwaarden en Weging</w:t>
            </w:r>
            <w:r>
              <w:rPr>
                <w:noProof/>
                <w:webHidden/>
              </w:rPr>
              <w:tab/>
            </w:r>
            <w:r>
              <w:rPr>
                <w:noProof/>
                <w:webHidden/>
              </w:rPr>
              <w:fldChar w:fldCharType="begin"/>
            </w:r>
            <w:r>
              <w:rPr>
                <w:noProof/>
                <w:webHidden/>
              </w:rPr>
              <w:instrText xml:space="preserve"> PAGEREF _Toc204774309 \h </w:instrText>
            </w:r>
            <w:r>
              <w:rPr>
                <w:noProof/>
                <w:webHidden/>
              </w:rPr>
            </w:r>
            <w:r>
              <w:rPr>
                <w:noProof/>
                <w:webHidden/>
              </w:rPr>
              <w:fldChar w:fldCharType="separate"/>
            </w:r>
            <w:r>
              <w:rPr>
                <w:noProof/>
                <w:webHidden/>
              </w:rPr>
              <w:t>11</w:t>
            </w:r>
            <w:r>
              <w:rPr>
                <w:noProof/>
                <w:webHidden/>
              </w:rPr>
              <w:fldChar w:fldCharType="end"/>
            </w:r>
          </w:hyperlink>
        </w:p>
        <w:p w14:paraId="6CE3506A" w14:textId="5F8CB8EF"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10" w:history="1">
            <w:r w:rsidRPr="006B405C">
              <w:rPr>
                <w:rStyle w:val="Hyperlink"/>
                <w:noProof/>
              </w:rPr>
              <w:t>Uitsluitingscriteria</w:t>
            </w:r>
            <w:r>
              <w:rPr>
                <w:noProof/>
                <w:webHidden/>
              </w:rPr>
              <w:tab/>
            </w:r>
            <w:r>
              <w:rPr>
                <w:noProof/>
                <w:webHidden/>
              </w:rPr>
              <w:fldChar w:fldCharType="begin"/>
            </w:r>
            <w:r>
              <w:rPr>
                <w:noProof/>
                <w:webHidden/>
              </w:rPr>
              <w:instrText xml:space="preserve"> PAGEREF _Toc204774310 \h </w:instrText>
            </w:r>
            <w:r>
              <w:rPr>
                <w:noProof/>
                <w:webHidden/>
              </w:rPr>
            </w:r>
            <w:r>
              <w:rPr>
                <w:noProof/>
                <w:webHidden/>
              </w:rPr>
              <w:fldChar w:fldCharType="separate"/>
            </w:r>
            <w:r>
              <w:rPr>
                <w:noProof/>
                <w:webHidden/>
              </w:rPr>
              <w:t>12</w:t>
            </w:r>
            <w:r>
              <w:rPr>
                <w:noProof/>
                <w:webHidden/>
              </w:rPr>
              <w:fldChar w:fldCharType="end"/>
            </w:r>
          </w:hyperlink>
        </w:p>
        <w:p w14:paraId="6790D7A9" w14:textId="69868158"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11" w:history="1">
            <w:r w:rsidRPr="006B405C">
              <w:rPr>
                <w:rStyle w:val="Hyperlink"/>
                <w:noProof/>
              </w:rPr>
              <w:t>Definitie van "Ondergewaardeerd Vastgoed"</w:t>
            </w:r>
            <w:r>
              <w:rPr>
                <w:noProof/>
                <w:webHidden/>
              </w:rPr>
              <w:tab/>
            </w:r>
            <w:r>
              <w:rPr>
                <w:noProof/>
                <w:webHidden/>
              </w:rPr>
              <w:fldChar w:fldCharType="begin"/>
            </w:r>
            <w:r>
              <w:rPr>
                <w:noProof/>
                <w:webHidden/>
              </w:rPr>
              <w:instrText xml:space="preserve"> PAGEREF _Toc204774311 \h </w:instrText>
            </w:r>
            <w:r>
              <w:rPr>
                <w:noProof/>
                <w:webHidden/>
              </w:rPr>
            </w:r>
            <w:r>
              <w:rPr>
                <w:noProof/>
                <w:webHidden/>
              </w:rPr>
              <w:fldChar w:fldCharType="separate"/>
            </w:r>
            <w:r>
              <w:rPr>
                <w:noProof/>
                <w:webHidden/>
              </w:rPr>
              <w:t>13</w:t>
            </w:r>
            <w:r>
              <w:rPr>
                <w:noProof/>
                <w:webHidden/>
              </w:rPr>
              <w:fldChar w:fldCharType="end"/>
            </w:r>
          </w:hyperlink>
        </w:p>
        <w:p w14:paraId="3AAE50A0" w14:textId="3DA9017E" w:rsidR="00B12B0F" w:rsidRDefault="00B12B0F">
          <w:pPr>
            <w:pStyle w:val="Inhopg1"/>
            <w:tabs>
              <w:tab w:val="right" w:leader="dot" w:pos="9350"/>
            </w:tabs>
            <w:rPr>
              <w:rFonts w:asciiTheme="minorHAnsi" w:eastAsiaTheme="minorEastAsia" w:hAnsiTheme="minorHAnsi" w:cstheme="minorBidi"/>
              <w:noProof/>
              <w:kern w:val="2"/>
              <w:sz w:val="24"/>
              <w:szCs w:val="24"/>
              <w14:ligatures w14:val="standardContextual"/>
            </w:rPr>
          </w:pPr>
          <w:hyperlink w:anchor="_Toc204774312" w:history="1">
            <w:r w:rsidRPr="006B405C">
              <w:rPr>
                <w:rStyle w:val="Hyperlink"/>
                <w:noProof/>
              </w:rPr>
              <w:t>Hoofdstuk 3: Macro-Economisch &amp; Toeristisch Landskap – De Context</w:t>
            </w:r>
            <w:r>
              <w:rPr>
                <w:noProof/>
                <w:webHidden/>
              </w:rPr>
              <w:tab/>
            </w:r>
            <w:r>
              <w:rPr>
                <w:noProof/>
                <w:webHidden/>
              </w:rPr>
              <w:fldChar w:fldCharType="begin"/>
            </w:r>
            <w:r>
              <w:rPr>
                <w:noProof/>
                <w:webHidden/>
              </w:rPr>
              <w:instrText xml:space="preserve"> PAGEREF _Toc204774312 \h </w:instrText>
            </w:r>
            <w:r>
              <w:rPr>
                <w:noProof/>
                <w:webHidden/>
              </w:rPr>
            </w:r>
            <w:r>
              <w:rPr>
                <w:noProof/>
                <w:webHidden/>
              </w:rPr>
              <w:fldChar w:fldCharType="separate"/>
            </w:r>
            <w:r>
              <w:rPr>
                <w:noProof/>
                <w:webHidden/>
              </w:rPr>
              <w:t>14</w:t>
            </w:r>
            <w:r>
              <w:rPr>
                <w:noProof/>
                <w:webHidden/>
              </w:rPr>
              <w:fldChar w:fldCharType="end"/>
            </w:r>
          </w:hyperlink>
        </w:p>
        <w:p w14:paraId="4C57E8FC" w14:textId="19FBAF49"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13" w:history="1">
            <w:r w:rsidRPr="006B405C">
              <w:rPr>
                <w:rStyle w:val="Hyperlink"/>
                <w:noProof/>
              </w:rPr>
              <w:t>Globale Toerismetrends</w:t>
            </w:r>
            <w:r>
              <w:rPr>
                <w:noProof/>
                <w:webHidden/>
              </w:rPr>
              <w:tab/>
            </w:r>
            <w:r>
              <w:rPr>
                <w:noProof/>
                <w:webHidden/>
              </w:rPr>
              <w:fldChar w:fldCharType="begin"/>
            </w:r>
            <w:r>
              <w:rPr>
                <w:noProof/>
                <w:webHidden/>
              </w:rPr>
              <w:instrText xml:space="preserve"> PAGEREF _Toc204774313 \h </w:instrText>
            </w:r>
            <w:r>
              <w:rPr>
                <w:noProof/>
                <w:webHidden/>
              </w:rPr>
            </w:r>
            <w:r>
              <w:rPr>
                <w:noProof/>
                <w:webHidden/>
              </w:rPr>
              <w:fldChar w:fldCharType="separate"/>
            </w:r>
            <w:r>
              <w:rPr>
                <w:noProof/>
                <w:webHidden/>
              </w:rPr>
              <w:t>14</w:t>
            </w:r>
            <w:r>
              <w:rPr>
                <w:noProof/>
                <w:webHidden/>
              </w:rPr>
              <w:fldChar w:fldCharType="end"/>
            </w:r>
          </w:hyperlink>
        </w:p>
        <w:p w14:paraId="6391E3BC" w14:textId="416DD0E6"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14" w:history="1">
            <w:r w:rsidRPr="006B405C">
              <w:rPr>
                <w:rStyle w:val="Hyperlink"/>
                <w:noProof/>
              </w:rPr>
              <w:t>Opkomst van Nichetoerisme</w:t>
            </w:r>
            <w:r>
              <w:rPr>
                <w:noProof/>
                <w:webHidden/>
              </w:rPr>
              <w:tab/>
            </w:r>
            <w:r>
              <w:rPr>
                <w:noProof/>
                <w:webHidden/>
              </w:rPr>
              <w:fldChar w:fldCharType="begin"/>
            </w:r>
            <w:r>
              <w:rPr>
                <w:noProof/>
                <w:webHidden/>
              </w:rPr>
              <w:instrText xml:space="preserve"> PAGEREF _Toc204774314 \h </w:instrText>
            </w:r>
            <w:r>
              <w:rPr>
                <w:noProof/>
                <w:webHidden/>
              </w:rPr>
            </w:r>
            <w:r>
              <w:rPr>
                <w:noProof/>
                <w:webHidden/>
              </w:rPr>
              <w:fldChar w:fldCharType="separate"/>
            </w:r>
            <w:r>
              <w:rPr>
                <w:noProof/>
                <w:webHidden/>
              </w:rPr>
              <w:t>15</w:t>
            </w:r>
            <w:r>
              <w:rPr>
                <w:noProof/>
                <w:webHidden/>
              </w:rPr>
              <w:fldChar w:fldCharType="end"/>
            </w:r>
          </w:hyperlink>
        </w:p>
        <w:p w14:paraId="6EDA9B7B" w14:textId="20EFEA53"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15" w:history="1">
            <w:r w:rsidRPr="006B405C">
              <w:rPr>
                <w:rStyle w:val="Hyperlink"/>
                <w:noProof/>
              </w:rPr>
              <w:t>Relatie Toerisme &amp; Vastgoedwaardering</w:t>
            </w:r>
            <w:r>
              <w:rPr>
                <w:noProof/>
                <w:webHidden/>
              </w:rPr>
              <w:tab/>
            </w:r>
            <w:r>
              <w:rPr>
                <w:noProof/>
                <w:webHidden/>
              </w:rPr>
              <w:fldChar w:fldCharType="begin"/>
            </w:r>
            <w:r>
              <w:rPr>
                <w:noProof/>
                <w:webHidden/>
              </w:rPr>
              <w:instrText xml:space="preserve"> PAGEREF _Toc204774315 \h </w:instrText>
            </w:r>
            <w:r>
              <w:rPr>
                <w:noProof/>
                <w:webHidden/>
              </w:rPr>
            </w:r>
            <w:r>
              <w:rPr>
                <w:noProof/>
                <w:webHidden/>
              </w:rPr>
              <w:fldChar w:fldCharType="separate"/>
            </w:r>
            <w:r>
              <w:rPr>
                <w:noProof/>
                <w:webHidden/>
              </w:rPr>
              <w:t>16</w:t>
            </w:r>
            <w:r>
              <w:rPr>
                <w:noProof/>
                <w:webHidden/>
              </w:rPr>
              <w:fldChar w:fldCharType="end"/>
            </w:r>
          </w:hyperlink>
        </w:p>
        <w:p w14:paraId="538BA502" w14:textId="44BE1370"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16" w:history="1">
            <w:r w:rsidRPr="006B405C">
              <w:rPr>
                <w:rStyle w:val="Hyperlink"/>
                <w:noProof/>
              </w:rPr>
              <w:t>Geopolitieke en Macro-economische Factoren</w:t>
            </w:r>
            <w:r>
              <w:rPr>
                <w:noProof/>
                <w:webHidden/>
              </w:rPr>
              <w:tab/>
            </w:r>
            <w:r>
              <w:rPr>
                <w:noProof/>
                <w:webHidden/>
              </w:rPr>
              <w:fldChar w:fldCharType="begin"/>
            </w:r>
            <w:r>
              <w:rPr>
                <w:noProof/>
                <w:webHidden/>
              </w:rPr>
              <w:instrText xml:space="preserve"> PAGEREF _Toc204774316 \h </w:instrText>
            </w:r>
            <w:r>
              <w:rPr>
                <w:noProof/>
                <w:webHidden/>
              </w:rPr>
            </w:r>
            <w:r>
              <w:rPr>
                <w:noProof/>
                <w:webHidden/>
              </w:rPr>
              <w:fldChar w:fldCharType="separate"/>
            </w:r>
            <w:r>
              <w:rPr>
                <w:noProof/>
                <w:webHidden/>
              </w:rPr>
              <w:t>17</w:t>
            </w:r>
            <w:r>
              <w:rPr>
                <w:noProof/>
                <w:webHidden/>
              </w:rPr>
              <w:fldChar w:fldCharType="end"/>
            </w:r>
          </w:hyperlink>
        </w:p>
        <w:p w14:paraId="2F462A26" w14:textId="57375A90" w:rsidR="00B12B0F" w:rsidRDefault="00B12B0F">
          <w:pPr>
            <w:pStyle w:val="Inhopg1"/>
            <w:tabs>
              <w:tab w:val="right" w:leader="dot" w:pos="9350"/>
            </w:tabs>
            <w:rPr>
              <w:rFonts w:asciiTheme="minorHAnsi" w:eastAsiaTheme="minorEastAsia" w:hAnsiTheme="minorHAnsi" w:cstheme="minorBidi"/>
              <w:noProof/>
              <w:kern w:val="2"/>
              <w:sz w:val="24"/>
              <w:szCs w:val="24"/>
              <w14:ligatures w14:val="standardContextual"/>
            </w:rPr>
          </w:pPr>
          <w:hyperlink w:anchor="_Toc204774317" w:history="1">
            <w:r w:rsidRPr="006B405C">
              <w:rPr>
                <w:rStyle w:val="Hyperlink"/>
                <w:noProof/>
              </w:rPr>
              <w:t>Hoofdstuk 4: Gedetailleerde Regionale Analyse – De Investeringsparels</w:t>
            </w:r>
            <w:r>
              <w:rPr>
                <w:noProof/>
                <w:webHidden/>
              </w:rPr>
              <w:tab/>
            </w:r>
            <w:r>
              <w:rPr>
                <w:noProof/>
                <w:webHidden/>
              </w:rPr>
              <w:fldChar w:fldCharType="begin"/>
            </w:r>
            <w:r>
              <w:rPr>
                <w:noProof/>
                <w:webHidden/>
              </w:rPr>
              <w:instrText xml:space="preserve"> PAGEREF _Toc204774317 \h </w:instrText>
            </w:r>
            <w:r>
              <w:rPr>
                <w:noProof/>
                <w:webHidden/>
              </w:rPr>
            </w:r>
            <w:r>
              <w:rPr>
                <w:noProof/>
                <w:webHidden/>
              </w:rPr>
              <w:fldChar w:fldCharType="separate"/>
            </w:r>
            <w:r>
              <w:rPr>
                <w:noProof/>
                <w:webHidden/>
              </w:rPr>
              <w:t>18</w:t>
            </w:r>
            <w:r>
              <w:rPr>
                <w:noProof/>
                <w:webHidden/>
              </w:rPr>
              <w:fldChar w:fldCharType="end"/>
            </w:r>
          </w:hyperlink>
        </w:p>
        <w:p w14:paraId="31CBC747" w14:textId="152E7789"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18" w:history="1">
            <w:r w:rsidRPr="006B405C">
              <w:rPr>
                <w:rStyle w:val="Hyperlink"/>
                <w:noProof/>
              </w:rPr>
              <w:t>4.1 Dumaguete, Filipijnen</w:t>
            </w:r>
            <w:r>
              <w:rPr>
                <w:noProof/>
                <w:webHidden/>
              </w:rPr>
              <w:tab/>
            </w:r>
            <w:r>
              <w:rPr>
                <w:noProof/>
                <w:webHidden/>
              </w:rPr>
              <w:fldChar w:fldCharType="begin"/>
            </w:r>
            <w:r>
              <w:rPr>
                <w:noProof/>
                <w:webHidden/>
              </w:rPr>
              <w:instrText xml:space="preserve"> PAGEREF _Toc204774318 \h </w:instrText>
            </w:r>
            <w:r>
              <w:rPr>
                <w:noProof/>
                <w:webHidden/>
              </w:rPr>
            </w:r>
            <w:r>
              <w:rPr>
                <w:noProof/>
                <w:webHidden/>
              </w:rPr>
              <w:fldChar w:fldCharType="separate"/>
            </w:r>
            <w:r>
              <w:rPr>
                <w:noProof/>
                <w:webHidden/>
              </w:rPr>
              <w:t>18</w:t>
            </w:r>
            <w:r>
              <w:rPr>
                <w:noProof/>
                <w:webHidden/>
              </w:rPr>
              <w:fldChar w:fldCharType="end"/>
            </w:r>
          </w:hyperlink>
        </w:p>
        <w:p w14:paraId="71A8AF9A" w14:textId="1E693EBE"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19" w:history="1">
            <w:r w:rsidRPr="006B405C">
              <w:rPr>
                <w:rStyle w:val="Hyperlink"/>
                <w:noProof/>
              </w:rPr>
              <w:t>4.1.1 Historische Context &amp; Huidig Profiel</w:t>
            </w:r>
            <w:r>
              <w:rPr>
                <w:noProof/>
                <w:webHidden/>
              </w:rPr>
              <w:tab/>
            </w:r>
            <w:r>
              <w:rPr>
                <w:noProof/>
                <w:webHidden/>
              </w:rPr>
              <w:fldChar w:fldCharType="begin"/>
            </w:r>
            <w:r>
              <w:rPr>
                <w:noProof/>
                <w:webHidden/>
              </w:rPr>
              <w:instrText xml:space="preserve"> PAGEREF _Toc204774319 \h </w:instrText>
            </w:r>
            <w:r>
              <w:rPr>
                <w:noProof/>
                <w:webHidden/>
              </w:rPr>
            </w:r>
            <w:r>
              <w:rPr>
                <w:noProof/>
                <w:webHidden/>
              </w:rPr>
              <w:fldChar w:fldCharType="separate"/>
            </w:r>
            <w:r>
              <w:rPr>
                <w:noProof/>
                <w:webHidden/>
              </w:rPr>
              <w:t>18</w:t>
            </w:r>
            <w:r>
              <w:rPr>
                <w:noProof/>
                <w:webHidden/>
              </w:rPr>
              <w:fldChar w:fldCharType="end"/>
            </w:r>
          </w:hyperlink>
        </w:p>
        <w:p w14:paraId="6F65ABB7" w14:textId="6CC685EE"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20" w:history="1">
            <w:r w:rsidRPr="006B405C">
              <w:rPr>
                <w:rStyle w:val="Hyperlink"/>
                <w:rFonts w:ascii="Google Sans" w:eastAsia="Google Sans" w:hAnsi="Google Sans" w:cs="Google Sans"/>
                <w:noProof/>
              </w:rPr>
              <w:t>4.1.2 Toeristische Groeimarkers &amp; Potentieel</w:t>
            </w:r>
            <w:r>
              <w:rPr>
                <w:noProof/>
                <w:webHidden/>
              </w:rPr>
              <w:tab/>
            </w:r>
            <w:r>
              <w:rPr>
                <w:noProof/>
                <w:webHidden/>
              </w:rPr>
              <w:fldChar w:fldCharType="begin"/>
            </w:r>
            <w:r>
              <w:rPr>
                <w:noProof/>
                <w:webHidden/>
              </w:rPr>
              <w:instrText xml:space="preserve"> PAGEREF _Toc204774320 \h </w:instrText>
            </w:r>
            <w:r>
              <w:rPr>
                <w:noProof/>
                <w:webHidden/>
              </w:rPr>
            </w:r>
            <w:r>
              <w:rPr>
                <w:noProof/>
                <w:webHidden/>
              </w:rPr>
              <w:fldChar w:fldCharType="separate"/>
            </w:r>
            <w:r>
              <w:rPr>
                <w:noProof/>
                <w:webHidden/>
              </w:rPr>
              <w:t>19</w:t>
            </w:r>
            <w:r>
              <w:rPr>
                <w:noProof/>
                <w:webHidden/>
              </w:rPr>
              <w:fldChar w:fldCharType="end"/>
            </w:r>
          </w:hyperlink>
        </w:p>
        <w:p w14:paraId="2A798697" w14:textId="66452FEB"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21" w:history="1">
            <w:r w:rsidRPr="006B405C">
              <w:rPr>
                <w:rStyle w:val="Hyperlink"/>
                <w:rFonts w:ascii="Google Sans" w:eastAsia="Google Sans" w:hAnsi="Google Sans" w:cs="Google Sans"/>
                <w:noProof/>
              </w:rPr>
              <w:t>4.1.3 Vastgoedmarkt Analyse &amp; Investeringslandschap</w:t>
            </w:r>
            <w:r>
              <w:rPr>
                <w:noProof/>
                <w:webHidden/>
              </w:rPr>
              <w:tab/>
            </w:r>
            <w:r>
              <w:rPr>
                <w:noProof/>
                <w:webHidden/>
              </w:rPr>
              <w:fldChar w:fldCharType="begin"/>
            </w:r>
            <w:r>
              <w:rPr>
                <w:noProof/>
                <w:webHidden/>
              </w:rPr>
              <w:instrText xml:space="preserve"> PAGEREF _Toc204774321 \h </w:instrText>
            </w:r>
            <w:r>
              <w:rPr>
                <w:noProof/>
                <w:webHidden/>
              </w:rPr>
            </w:r>
            <w:r>
              <w:rPr>
                <w:noProof/>
                <w:webHidden/>
              </w:rPr>
              <w:fldChar w:fldCharType="separate"/>
            </w:r>
            <w:r>
              <w:rPr>
                <w:noProof/>
                <w:webHidden/>
              </w:rPr>
              <w:t>20</w:t>
            </w:r>
            <w:r>
              <w:rPr>
                <w:noProof/>
                <w:webHidden/>
              </w:rPr>
              <w:fldChar w:fldCharType="end"/>
            </w:r>
          </w:hyperlink>
        </w:p>
        <w:p w14:paraId="132D131E" w14:textId="0F861840"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22" w:history="1">
            <w:r w:rsidRPr="006B405C">
              <w:rPr>
                <w:rStyle w:val="Hyperlink"/>
                <w:noProof/>
              </w:rPr>
              <w:t>4.1.4 Infrastructuur &amp; Bereikbaarheid</w:t>
            </w:r>
            <w:r>
              <w:rPr>
                <w:noProof/>
                <w:webHidden/>
              </w:rPr>
              <w:tab/>
            </w:r>
            <w:r>
              <w:rPr>
                <w:noProof/>
                <w:webHidden/>
              </w:rPr>
              <w:fldChar w:fldCharType="begin"/>
            </w:r>
            <w:r>
              <w:rPr>
                <w:noProof/>
                <w:webHidden/>
              </w:rPr>
              <w:instrText xml:space="preserve"> PAGEREF _Toc204774322 \h </w:instrText>
            </w:r>
            <w:r>
              <w:rPr>
                <w:noProof/>
                <w:webHidden/>
              </w:rPr>
            </w:r>
            <w:r>
              <w:rPr>
                <w:noProof/>
                <w:webHidden/>
              </w:rPr>
              <w:fldChar w:fldCharType="separate"/>
            </w:r>
            <w:r>
              <w:rPr>
                <w:noProof/>
                <w:webHidden/>
              </w:rPr>
              <w:t>21</w:t>
            </w:r>
            <w:r>
              <w:rPr>
                <w:noProof/>
                <w:webHidden/>
              </w:rPr>
              <w:fldChar w:fldCharType="end"/>
            </w:r>
          </w:hyperlink>
        </w:p>
        <w:p w14:paraId="43432B95" w14:textId="58165890"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23" w:history="1">
            <w:r w:rsidRPr="006B405C">
              <w:rPr>
                <w:rStyle w:val="Hyperlink"/>
                <w:noProof/>
              </w:rPr>
              <w:t>4.1.5 Juridisch, Fiscale &amp; Overheidsbeleid</w:t>
            </w:r>
            <w:r>
              <w:rPr>
                <w:noProof/>
                <w:webHidden/>
              </w:rPr>
              <w:tab/>
            </w:r>
            <w:r>
              <w:rPr>
                <w:noProof/>
                <w:webHidden/>
              </w:rPr>
              <w:fldChar w:fldCharType="begin"/>
            </w:r>
            <w:r>
              <w:rPr>
                <w:noProof/>
                <w:webHidden/>
              </w:rPr>
              <w:instrText xml:space="preserve"> PAGEREF _Toc204774323 \h </w:instrText>
            </w:r>
            <w:r>
              <w:rPr>
                <w:noProof/>
                <w:webHidden/>
              </w:rPr>
            </w:r>
            <w:r>
              <w:rPr>
                <w:noProof/>
                <w:webHidden/>
              </w:rPr>
              <w:fldChar w:fldCharType="separate"/>
            </w:r>
            <w:r>
              <w:rPr>
                <w:noProof/>
                <w:webHidden/>
              </w:rPr>
              <w:t>22</w:t>
            </w:r>
            <w:r>
              <w:rPr>
                <w:noProof/>
                <w:webHidden/>
              </w:rPr>
              <w:fldChar w:fldCharType="end"/>
            </w:r>
          </w:hyperlink>
        </w:p>
        <w:p w14:paraId="02EBCA20" w14:textId="63B95459"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24" w:history="1">
            <w:r w:rsidRPr="006B405C">
              <w:rPr>
                <w:rStyle w:val="Hyperlink"/>
                <w:noProof/>
              </w:rPr>
              <w:t>4.1.6 Financiële Projecties &amp; ROI Detail</w:t>
            </w:r>
            <w:r>
              <w:rPr>
                <w:noProof/>
                <w:webHidden/>
              </w:rPr>
              <w:tab/>
            </w:r>
            <w:r>
              <w:rPr>
                <w:noProof/>
                <w:webHidden/>
              </w:rPr>
              <w:fldChar w:fldCharType="begin"/>
            </w:r>
            <w:r>
              <w:rPr>
                <w:noProof/>
                <w:webHidden/>
              </w:rPr>
              <w:instrText xml:space="preserve"> PAGEREF _Toc204774324 \h </w:instrText>
            </w:r>
            <w:r>
              <w:rPr>
                <w:noProof/>
                <w:webHidden/>
              </w:rPr>
            </w:r>
            <w:r>
              <w:rPr>
                <w:noProof/>
                <w:webHidden/>
              </w:rPr>
              <w:fldChar w:fldCharType="separate"/>
            </w:r>
            <w:r>
              <w:rPr>
                <w:noProof/>
                <w:webHidden/>
              </w:rPr>
              <w:t>23</w:t>
            </w:r>
            <w:r>
              <w:rPr>
                <w:noProof/>
                <w:webHidden/>
              </w:rPr>
              <w:fldChar w:fldCharType="end"/>
            </w:r>
          </w:hyperlink>
        </w:p>
        <w:p w14:paraId="2AB5DCAE" w14:textId="22C207B6"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25" w:history="1">
            <w:r w:rsidRPr="006B405C">
              <w:rPr>
                <w:rStyle w:val="Hyperlink"/>
                <w:noProof/>
              </w:rPr>
              <w:t>4.1.7 Lokale Implementatiepartners &amp; Ondersteuning</w:t>
            </w:r>
            <w:r>
              <w:rPr>
                <w:noProof/>
                <w:webHidden/>
              </w:rPr>
              <w:tab/>
            </w:r>
            <w:r>
              <w:rPr>
                <w:noProof/>
                <w:webHidden/>
              </w:rPr>
              <w:fldChar w:fldCharType="begin"/>
            </w:r>
            <w:r>
              <w:rPr>
                <w:noProof/>
                <w:webHidden/>
              </w:rPr>
              <w:instrText xml:space="preserve"> PAGEREF _Toc204774325 \h </w:instrText>
            </w:r>
            <w:r>
              <w:rPr>
                <w:noProof/>
                <w:webHidden/>
              </w:rPr>
            </w:r>
            <w:r>
              <w:rPr>
                <w:noProof/>
                <w:webHidden/>
              </w:rPr>
              <w:fldChar w:fldCharType="separate"/>
            </w:r>
            <w:r>
              <w:rPr>
                <w:noProof/>
                <w:webHidden/>
              </w:rPr>
              <w:t>26</w:t>
            </w:r>
            <w:r>
              <w:rPr>
                <w:noProof/>
                <w:webHidden/>
              </w:rPr>
              <w:fldChar w:fldCharType="end"/>
            </w:r>
          </w:hyperlink>
        </w:p>
        <w:p w14:paraId="1DDFDBC1" w14:textId="2A6689CA"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26" w:history="1">
            <w:r w:rsidRPr="006B405C">
              <w:rPr>
                <w:rStyle w:val="Hyperlink"/>
                <w:noProof/>
              </w:rPr>
              <w:t>4.2 Landelijk Albanië</w:t>
            </w:r>
            <w:r>
              <w:rPr>
                <w:noProof/>
                <w:webHidden/>
              </w:rPr>
              <w:tab/>
            </w:r>
            <w:r>
              <w:rPr>
                <w:noProof/>
                <w:webHidden/>
              </w:rPr>
              <w:fldChar w:fldCharType="begin"/>
            </w:r>
            <w:r>
              <w:rPr>
                <w:noProof/>
                <w:webHidden/>
              </w:rPr>
              <w:instrText xml:space="preserve"> PAGEREF _Toc204774326 \h </w:instrText>
            </w:r>
            <w:r>
              <w:rPr>
                <w:noProof/>
                <w:webHidden/>
              </w:rPr>
            </w:r>
            <w:r>
              <w:rPr>
                <w:noProof/>
                <w:webHidden/>
              </w:rPr>
              <w:fldChar w:fldCharType="separate"/>
            </w:r>
            <w:r>
              <w:rPr>
                <w:noProof/>
                <w:webHidden/>
              </w:rPr>
              <w:t>26</w:t>
            </w:r>
            <w:r>
              <w:rPr>
                <w:noProof/>
                <w:webHidden/>
              </w:rPr>
              <w:fldChar w:fldCharType="end"/>
            </w:r>
          </w:hyperlink>
        </w:p>
        <w:p w14:paraId="2FFE2BBE" w14:textId="119C1770"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27" w:history="1">
            <w:r w:rsidRPr="006B405C">
              <w:rPr>
                <w:rStyle w:val="Hyperlink"/>
                <w:noProof/>
              </w:rPr>
              <w:t>4.2.1 Historische Context &amp; Huidig Profiel</w:t>
            </w:r>
            <w:r>
              <w:rPr>
                <w:noProof/>
                <w:webHidden/>
              </w:rPr>
              <w:tab/>
            </w:r>
            <w:r>
              <w:rPr>
                <w:noProof/>
                <w:webHidden/>
              </w:rPr>
              <w:fldChar w:fldCharType="begin"/>
            </w:r>
            <w:r>
              <w:rPr>
                <w:noProof/>
                <w:webHidden/>
              </w:rPr>
              <w:instrText xml:space="preserve"> PAGEREF _Toc204774327 \h </w:instrText>
            </w:r>
            <w:r>
              <w:rPr>
                <w:noProof/>
                <w:webHidden/>
              </w:rPr>
            </w:r>
            <w:r>
              <w:rPr>
                <w:noProof/>
                <w:webHidden/>
              </w:rPr>
              <w:fldChar w:fldCharType="separate"/>
            </w:r>
            <w:r>
              <w:rPr>
                <w:noProof/>
                <w:webHidden/>
              </w:rPr>
              <w:t>26</w:t>
            </w:r>
            <w:r>
              <w:rPr>
                <w:noProof/>
                <w:webHidden/>
              </w:rPr>
              <w:fldChar w:fldCharType="end"/>
            </w:r>
          </w:hyperlink>
        </w:p>
        <w:p w14:paraId="44E0ED71" w14:textId="11329B7B"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28" w:history="1">
            <w:r w:rsidRPr="006B405C">
              <w:rPr>
                <w:rStyle w:val="Hyperlink"/>
                <w:noProof/>
              </w:rPr>
              <w:t>4.2.2 Toeristische Groeimarkers &amp; Potentieel</w:t>
            </w:r>
            <w:r>
              <w:rPr>
                <w:noProof/>
                <w:webHidden/>
              </w:rPr>
              <w:tab/>
            </w:r>
            <w:r>
              <w:rPr>
                <w:noProof/>
                <w:webHidden/>
              </w:rPr>
              <w:fldChar w:fldCharType="begin"/>
            </w:r>
            <w:r>
              <w:rPr>
                <w:noProof/>
                <w:webHidden/>
              </w:rPr>
              <w:instrText xml:space="preserve"> PAGEREF _Toc204774328 \h </w:instrText>
            </w:r>
            <w:r>
              <w:rPr>
                <w:noProof/>
                <w:webHidden/>
              </w:rPr>
            </w:r>
            <w:r>
              <w:rPr>
                <w:noProof/>
                <w:webHidden/>
              </w:rPr>
              <w:fldChar w:fldCharType="separate"/>
            </w:r>
            <w:r>
              <w:rPr>
                <w:noProof/>
                <w:webHidden/>
              </w:rPr>
              <w:t>27</w:t>
            </w:r>
            <w:r>
              <w:rPr>
                <w:noProof/>
                <w:webHidden/>
              </w:rPr>
              <w:fldChar w:fldCharType="end"/>
            </w:r>
          </w:hyperlink>
        </w:p>
        <w:p w14:paraId="0401E497" w14:textId="18A42C08"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29" w:history="1">
            <w:r w:rsidRPr="006B405C">
              <w:rPr>
                <w:rStyle w:val="Hyperlink"/>
                <w:noProof/>
              </w:rPr>
              <w:t>4.2.3 Vastgoedmarkt Analyse &amp; Investeringslandschap</w:t>
            </w:r>
            <w:r>
              <w:rPr>
                <w:noProof/>
                <w:webHidden/>
              </w:rPr>
              <w:tab/>
            </w:r>
            <w:r>
              <w:rPr>
                <w:noProof/>
                <w:webHidden/>
              </w:rPr>
              <w:fldChar w:fldCharType="begin"/>
            </w:r>
            <w:r>
              <w:rPr>
                <w:noProof/>
                <w:webHidden/>
              </w:rPr>
              <w:instrText xml:space="preserve"> PAGEREF _Toc204774329 \h </w:instrText>
            </w:r>
            <w:r>
              <w:rPr>
                <w:noProof/>
                <w:webHidden/>
              </w:rPr>
            </w:r>
            <w:r>
              <w:rPr>
                <w:noProof/>
                <w:webHidden/>
              </w:rPr>
              <w:fldChar w:fldCharType="separate"/>
            </w:r>
            <w:r>
              <w:rPr>
                <w:noProof/>
                <w:webHidden/>
              </w:rPr>
              <w:t>28</w:t>
            </w:r>
            <w:r>
              <w:rPr>
                <w:noProof/>
                <w:webHidden/>
              </w:rPr>
              <w:fldChar w:fldCharType="end"/>
            </w:r>
          </w:hyperlink>
        </w:p>
        <w:p w14:paraId="57AB34D8" w14:textId="63327E4D"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30" w:history="1">
            <w:r w:rsidRPr="006B405C">
              <w:rPr>
                <w:rStyle w:val="Hyperlink"/>
                <w:noProof/>
              </w:rPr>
              <w:t>4.2.4 Infrastructuur &amp; Bereikbaarheid</w:t>
            </w:r>
            <w:r>
              <w:rPr>
                <w:noProof/>
                <w:webHidden/>
              </w:rPr>
              <w:tab/>
            </w:r>
            <w:r>
              <w:rPr>
                <w:noProof/>
                <w:webHidden/>
              </w:rPr>
              <w:fldChar w:fldCharType="begin"/>
            </w:r>
            <w:r>
              <w:rPr>
                <w:noProof/>
                <w:webHidden/>
              </w:rPr>
              <w:instrText xml:space="preserve"> PAGEREF _Toc204774330 \h </w:instrText>
            </w:r>
            <w:r>
              <w:rPr>
                <w:noProof/>
                <w:webHidden/>
              </w:rPr>
            </w:r>
            <w:r>
              <w:rPr>
                <w:noProof/>
                <w:webHidden/>
              </w:rPr>
              <w:fldChar w:fldCharType="separate"/>
            </w:r>
            <w:r>
              <w:rPr>
                <w:noProof/>
                <w:webHidden/>
              </w:rPr>
              <w:t>29</w:t>
            </w:r>
            <w:r>
              <w:rPr>
                <w:noProof/>
                <w:webHidden/>
              </w:rPr>
              <w:fldChar w:fldCharType="end"/>
            </w:r>
          </w:hyperlink>
        </w:p>
        <w:p w14:paraId="5E1720F4" w14:textId="42BD24AD"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31" w:history="1">
            <w:r w:rsidRPr="006B405C">
              <w:rPr>
                <w:rStyle w:val="Hyperlink"/>
                <w:rFonts w:ascii="Google Sans" w:eastAsia="Google Sans" w:hAnsi="Google Sans" w:cs="Google Sans"/>
                <w:noProof/>
              </w:rPr>
              <w:t>4.2.5 Juridisch, Fiscale &amp; Overheidsbeleid</w:t>
            </w:r>
            <w:r>
              <w:rPr>
                <w:noProof/>
                <w:webHidden/>
              </w:rPr>
              <w:tab/>
            </w:r>
            <w:r>
              <w:rPr>
                <w:noProof/>
                <w:webHidden/>
              </w:rPr>
              <w:fldChar w:fldCharType="begin"/>
            </w:r>
            <w:r>
              <w:rPr>
                <w:noProof/>
                <w:webHidden/>
              </w:rPr>
              <w:instrText xml:space="preserve"> PAGEREF _Toc204774331 \h </w:instrText>
            </w:r>
            <w:r>
              <w:rPr>
                <w:noProof/>
                <w:webHidden/>
              </w:rPr>
            </w:r>
            <w:r>
              <w:rPr>
                <w:noProof/>
                <w:webHidden/>
              </w:rPr>
              <w:fldChar w:fldCharType="separate"/>
            </w:r>
            <w:r>
              <w:rPr>
                <w:noProof/>
                <w:webHidden/>
              </w:rPr>
              <w:t>29</w:t>
            </w:r>
            <w:r>
              <w:rPr>
                <w:noProof/>
                <w:webHidden/>
              </w:rPr>
              <w:fldChar w:fldCharType="end"/>
            </w:r>
          </w:hyperlink>
        </w:p>
        <w:p w14:paraId="38580C5B" w14:textId="1EE1AD2F"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32" w:history="1">
            <w:r w:rsidRPr="006B405C">
              <w:rPr>
                <w:rStyle w:val="Hyperlink"/>
                <w:noProof/>
              </w:rPr>
              <w:t>4.2.6 Financiële Projecties &amp; ROI Detail</w:t>
            </w:r>
            <w:r>
              <w:rPr>
                <w:noProof/>
                <w:webHidden/>
              </w:rPr>
              <w:tab/>
            </w:r>
            <w:r>
              <w:rPr>
                <w:noProof/>
                <w:webHidden/>
              </w:rPr>
              <w:fldChar w:fldCharType="begin"/>
            </w:r>
            <w:r>
              <w:rPr>
                <w:noProof/>
                <w:webHidden/>
              </w:rPr>
              <w:instrText xml:space="preserve"> PAGEREF _Toc204774332 \h </w:instrText>
            </w:r>
            <w:r>
              <w:rPr>
                <w:noProof/>
                <w:webHidden/>
              </w:rPr>
            </w:r>
            <w:r>
              <w:rPr>
                <w:noProof/>
                <w:webHidden/>
              </w:rPr>
              <w:fldChar w:fldCharType="separate"/>
            </w:r>
            <w:r>
              <w:rPr>
                <w:noProof/>
                <w:webHidden/>
              </w:rPr>
              <w:t>31</w:t>
            </w:r>
            <w:r>
              <w:rPr>
                <w:noProof/>
                <w:webHidden/>
              </w:rPr>
              <w:fldChar w:fldCharType="end"/>
            </w:r>
          </w:hyperlink>
        </w:p>
        <w:p w14:paraId="24DEBF20" w14:textId="4E0FD208"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33" w:history="1">
            <w:r w:rsidRPr="006B405C">
              <w:rPr>
                <w:rStyle w:val="Hyperlink"/>
                <w:noProof/>
              </w:rPr>
              <w:t>4.2.7 Lokale Implementatiepartners &amp; Ondersteuning</w:t>
            </w:r>
            <w:r>
              <w:rPr>
                <w:noProof/>
                <w:webHidden/>
              </w:rPr>
              <w:tab/>
            </w:r>
            <w:r>
              <w:rPr>
                <w:noProof/>
                <w:webHidden/>
              </w:rPr>
              <w:fldChar w:fldCharType="begin"/>
            </w:r>
            <w:r>
              <w:rPr>
                <w:noProof/>
                <w:webHidden/>
              </w:rPr>
              <w:instrText xml:space="preserve"> PAGEREF _Toc204774333 \h </w:instrText>
            </w:r>
            <w:r>
              <w:rPr>
                <w:noProof/>
                <w:webHidden/>
              </w:rPr>
            </w:r>
            <w:r>
              <w:rPr>
                <w:noProof/>
                <w:webHidden/>
              </w:rPr>
              <w:fldChar w:fldCharType="separate"/>
            </w:r>
            <w:r>
              <w:rPr>
                <w:noProof/>
                <w:webHidden/>
              </w:rPr>
              <w:t>33</w:t>
            </w:r>
            <w:r>
              <w:rPr>
                <w:noProof/>
                <w:webHidden/>
              </w:rPr>
              <w:fldChar w:fldCharType="end"/>
            </w:r>
          </w:hyperlink>
        </w:p>
        <w:p w14:paraId="1056EDB8" w14:textId="2DF452DE"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34" w:history="1">
            <w:r w:rsidRPr="006B405C">
              <w:rPr>
                <w:rStyle w:val="Hyperlink"/>
                <w:rFonts w:ascii="Google Sans" w:eastAsia="Google Sans" w:hAnsi="Google Sans" w:cs="Google Sans"/>
                <w:noProof/>
              </w:rPr>
              <w:t>4.3 Landelijk Colombia (Koffie-as)</w:t>
            </w:r>
            <w:r>
              <w:rPr>
                <w:noProof/>
                <w:webHidden/>
              </w:rPr>
              <w:tab/>
            </w:r>
            <w:r>
              <w:rPr>
                <w:noProof/>
                <w:webHidden/>
              </w:rPr>
              <w:fldChar w:fldCharType="begin"/>
            </w:r>
            <w:r>
              <w:rPr>
                <w:noProof/>
                <w:webHidden/>
              </w:rPr>
              <w:instrText xml:space="preserve"> PAGEREF _Toc204774334 \h </w:instrText>
            </w:r>
            <w:r>
              <w:rPr>
                <w:noProof/>
                <w:webHidden/>
              </w:rPr>
            </w:r>
            <w:r>
              <w:rPr>
                <w:noProof/>
                <w:webHidden/>
              </w:rPr>
              <w:fldChar w:fldCharType="separate"/>
            </w:r>
            <w:r>
              <w:rPr>
                <w:noProof/>
                <w:webHidden/>
              </w:rPr>
              <w:t>33</w:t>
            </w:r>
            <w:r>
              <w:rPr>
                <w:noProof/>
                <w:webHidden/>
              </w:rPr>
              <w:fldChar w:fldCharType="end"/>
            </w:r>
          </w:hyperlink>
        </w:p>
        <w:p w14:paraId="71EA5D12" w14:textId="743A7188"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35" w:history="1">
            <w:r w:rsidRPr="006B405C">
              <w:rPr>
                <w:rStyle w:val="Hyperlink"/>
                <w:noProof/>
              </w:rPr>
              <w:t>4.3.1 Historische Context &amp; Huidig Profiel</w:t>
            </w:r>
            <w:r>
              <w:rPr>
                <w:noProof/>
                <w:webHidden/>
              </w:rPr>
              <w:tab/>
            </w:r>
            <w:r>
              <w:rPr>
                <w:noProof/>
                <w:webHidden/>
              </w:rPr>
              <w:fldChar w:fldCharType="begin"/>
            </w:r>
            <w:r>
              <w:rPr>
                <w:noProof/>
                <w:webHidden/>
              </w:rPr>
              <w:instrText xml:space="preserve"> PAGEREF _Toc204774335 \h </w:instrText>
            </w:r>
            <w:r>
              <w:rPr>
                <w:noProof/>
                <w:webHidden/>
              </w:rPr>
            </w:r>
            <w:r>
              <w:rPr>
                <w:noProof/>
                <w:webHidden/>
              </w:rPr>
              <w:fldChar w:fldCharType="separate"/>
            </w:r>
            <w:r>
              <w:rPr>
                <w:noProof/>
                <w:webHidden/>
              </w:rPr>
              <w:t>33</w:t>
            </w:r>
            <w:r>
              <w:rPr>
                <w:noProof/>
                <w:webHidden/>
              </w:rPr>
              <w:fldChar w:fldCharType="end"/>
            </w:r>
          </w:hyperlink>
        </w:p>
        <w:p w14:paraId="47016257" w14:textId="1ECC8183"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36" w:history="1">
            <w:r w:rsidRPr="006B405C">
              <w:rPr>
                <w:rStyle w:val="Hyperlink"/>
                <w:noProof/>
              </w:rPr>
              <w:t>4.3.2 Toeristische Groeimarkers &amp; Potentieel</w:t>
            </w:r>
            <w:r>
              <w:rPr>
                <w:noProof/>
                <w:webHidden/>
              </w:rPr>
              <w:tab/>
            </w:r>
            <w:r>
              <w:rPr>
                <w:noProof/>
                <w:webHidden/>
              </w:rPr>
              <w:fldChar w:fldCharType="begin"/>
            </w:r>
            <w:r>
              <w:rPr>
                <w:noProof/>
                <w:webHidden/>
              </w:rPr>
              <w:instrText xml:space="preserve"> PAGEREF _Toc204774336 \h </w:instrText>
            </w:r>
            <w:r>
              <w:rPr>
                <w:noProof/>
                <w:webHidden/>
              </w:rPr>
            </w:r>
            <w:r>
              <w:rPr>
                <w:noProof/>
                <w:webHidden/>
              </w:rPr>
              <w:fldChar w:fldCharType="separate"/>
            </w:r>
            <w:r>
              <w:rPr>
                <w:noProof/>
                <w:webHidden/>
              </w:rPr>
              <w:t>34</w:t>
            </w:r>
            <w:r>
              <w:rPr>
                <w:noProof/>
                <w:webHidden/>
              </w:rPr>
              <w:fldChar w:fldCharType="end"/>
            </w:r>
          </w:hyperlink>
        </w:p>
        <w:p w14:paraId="1B26858A" w14:textId="2B48F2B4"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37" w:history="1">
            <w:r w:rsidRPr="006B405C">
              <w:rPr>
                <w:rStyle w:val="Hyperlink"/>
                <w:noProof/>
              </w:rPr>
              <w:t>4.3.3 Vastgoedmarkt Analyse &amp; Investeringslandschap</w:t>
            </w:r>
            <w:r>
              <w:rPr>
                <w:noProof/>
                <w:webHidden/>
              </w:rPr>
              <w:tab/>
            </w:r>
            <w:r>
              <w:rPr>
                <w:noProof/>
                <w:webHidden/>
              </w:rPr>
              <w:fldChar w:fldCharType="begin"/>
            </w:r>
            <w:r>
              <w:rPr>
                <w:noProof/>
                <w:webHidden/>
              </w:rPr>
              <w:instrText xml:space="preserve"> PAGEREF _Toc204774337 \h </w:instrText>
            </w:r>
            <w:r>
              <w:rPr>
                <w:noProof/>
                <w:webHidden/>
              </w:rPr>
            </w:r>
            <w:r>
              <w:rPr>
                <w:noProof/>
                <w:webHidden/>
              </w:rPr>
              <w:fldChar w:fldCharType="separate"/>
            </w:r>
            <w:r>
              <w:rPr>
                <w:noProof/>
                <w:webHidden/>
              </w:rPr>
              <w:t>35</w:t>
            </w:r>
            <w:r>
              <w:rPr>
                <w:noProof/>
                <w:webHidden/>
              </w:rPr>
              <w:fldChar w:fldCharType="end"/>
            </w:r>
          </w:hyperlink>
        </w:p>
        <w:p w14:paraId="2FDDC21F" w14:textId="45D98D2A"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38" w:history="1">
            <w:r w:rsidRPr="006B405C">
              <w:rPr>
                <w:rStyle w:val="Hyperlink"/>
                <w:noProof/>
              </w:rPr>
              <w:t>4.3.4 Infrastructuur &amp; Bereikbaarheid</w:t>
            </w:r>
            <w:r>
              <w:rPr>
                <w:noProof/>
                <w:webHidden/>
              </w:rPr>
              <w:tab/>
            </w:r>
            <w:r>
              <w:rPr>
                <w:noProof/>
                <w:webHidden/>
              </w:rPr>
              <w:fldChar w:fldCharType="begin"/>
            </w:r>
            <w:r>
              <w:rPr>
                <w:noProof/>
                <w:webHidden/>
              </w:rPr>
              <w:instrText xml:space="preserve"> PAGEREF _Toc204774338 \h </w:instrText>
            </w:r>
            <w:r>
              <w:rPr>
                <w:noProof/>
                <w:webHidden/>
              </w:rPr>
            </w:r>
            <w:r>
              <w:rPr>
                <w:noProof/>
                <w:webHidden/>
              </w:rPr>
              <w:fldChar w:fldCharType="separate"/>
            </w:r>
            <w:r>
              <w:rPr>
                <w:noProof/>
                <w:webHidden/>
              </w:rPr>
              <w:t>36</w:t>
            </w:r>
            <w:r>
              <w:rPr>
                <w:noProof/>
                <w:webHidden/>
              </w:rPr>
              <w:fldChar w:fldCharType="end"/>
            </w:r>
          </w:hyperlink>
        </w:p>
        <w:p w14:paraId="696CE192" w14:textId="6E8A3C60"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39" w:history="1">
            <w:r w:rsidRPr="006B405C">
              <w:rPr>
                <w:rStyle w:val="Hyperlink"/>
                <w:noProof/>
              </w:rPr>
              <w:t>4.3.5 Juridisch, Fiscale &amp; Overheidsbeleid</w:t>
            </w:r>
            <w:r>
              <w:rPr>
                <w:noProof/>
                <w:webHidden/>
              </w:rPr>
              <w:tab/>
            </w:r>
            <w:r>
              <w:rPr>
                <w:noProof/>
                <w:webHidden/>
              </w:rPr>
              <w:fldChar w:fldCharType="begin"/>
            </w:r>
            <w:r>
              <w:rPr>
                <w:noProof/>
                <w:webHidden/>
              </w:rPr>
              <w:instrText xml:space="preserve"> PAGEREF _Toc204774339 \h </w:instrText>
            </w:r>
            <w:r>
              <w:rPr>
                <w:noProof/>
                <w:webHidden/>
              </w:rPr>
            </w:r>
            <w:r>
              <w:rPr>
                <w:noProof/>
                <w:webHidden/>
              </w:rPr>
              <w:fldChar w:fldCharType="separate"/>
            </w:r>
            <w:r>
              <w:rPr>
                <w:noProof/>
                <w:webHidden/>
              </w:rPr>
              <w:t>37</w:t>
            </w:r>
            <w:r>
              <w:rPr>
                <w:noProof/>
                <w:webHidden/>
              </w:rPr>
              <w:fldChar w:fldCharType="end"/>
            </w:r>
          </w:hyperlink>
        </w:p>
        <w:p w14:paraId="111694BB" w14:textId="20E8EB42"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40" w:history="1">
            <w:r w:rsidRPr="006B405C">
              <w:rPr>
                <w:rStyle w:val="Hyperlink"/>
                <w:noProof/>
              </w:rPr>
              <w:t>4.3.6 Financiële Projecties &amp; ROI Detail</w:t>
            </w:r>
            <w:r>
              <w:rPr>
                <w:noProof/>
                <w:webHidden/>
              </w:rPr>
              <w:tab/>
            </w:r>
            <w:r>
              <w:rPr>
                <w:noProof/>
                <w:webHidden/>
              </w:rPr>
              <w:fldChar w:fldCharType="begin"/>
            </w:r>
            <w:r>
              <w:rPr>
                <w:noProof/>
                <w:webHidden/>
              </w:rPr>
              <w:instrText xml:space="preserve"> PAGEREF _Toc204774340 \h </w:instrText>
            </w:r>
            <w:r>
              <w:rPr>
                <w:noProof/>
                <w:webHidden/>
              </w:rPr>
            </w:r>
            <w:r>
              <w:rPr>
                <w:noProof/>
                <w:webHidden/>
              </w:rPr>
              <w:fldChar w:fldCharType="separate"/>
            </w:r>
            <w:r>
              <w:rPr>
                <w:noProof/>
                <w:webHidden/>
              </w:rPr>
              <w:t>38</w:t>
            </w:r>
            <w:r>
              <w:rPr>
                <w:noProof/>
                <w:webHidden/>
              </w:rPr>
              <w:fldChar w:fldCharType="end"/>
            </w:r>
          </w:hyperlink>
        </w:p>
        <w:p w14:paraId="2A54729F" w14:textId="6F2DA586"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41" w:history="1">
            <w:r w:rsidRPr="006B405C">
              <w:rPr>
                <w:rStyle w:val="Hyperlink"/>
                <w:rFonts w:ascii="Google Sans" w:eastAsia="Google Sans" w:hAnsi="Google Sans" w:cs="Google Sans"/>
                <w:noProof/>
              </w:rPr>
              <w:t>4.3.7 Lokale Implementatiepartners &amp; Ondersteuning</w:t>
            </w:r>
            <w:r>
              <w:rPr>
                <w:noProof/>
                <w:webHidden/>
              </w:rPr>
              <w:tab/>
            </w:r>
            <w:r>
              <w:rPr>
                <w:noProof/>
                <w:webHidden/>
              </w:rPr>
              <w:fldChar w:fldCharType="begin"/>
            </w:r>
            <w:r>
              <w:rPr>
                <w:noProof/>
                <w:webHidden/>
              </w:rPr>
              <w:instrText xml:space="preserve"> PAGEREF _Toc204774341 \h </w:instrText>
            </w:r>
            <w:r>
              <w:rPr>
                <w:noProof/>
                <w:webHidden/>
              </w:rPr>
            </w:r>
            <w:r>
              <w:rPr>
                <w:noProof/>
                <w:webHidden/>
              </w:rPr>
              <w:fldChar w:fldCharType="separate"/>
            </w:r>
            <w:r>
              <w:rPr>
                <w:noProof/>
                <w:webHidden/>
              </w:rPr>
              <w:t>40</w:t>
            </w:r>
            <w:r>
              <w:rPr>
                <w:noProof/>
                <w:webHidden/>
              </w:rPr>
              <w:fldChar w:fldCharType="end"/>
            </w:r>
          </w:hyperlink>
        </w:p>
        <w:p w14:paraId="04BE0971" w14:textId="76936F20"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42" w:history="1">
            <w:r w:rsidRPr="006B405C">
              <w:rPr>
                <w:rStyle w:val="Hyperlink"/>
                <w:rFonts w:ascii="Google Sans" w:eastAsia="Google Sans" w:hAnsi="Google Sans" w:cs="Google Sans"/>
                <w:noProof/>
              </w:rPr>
              <w:t>4.4 Noordwest-Bulgarije</w:t>
            </w:r>
            <w:r>
              <w:rPr>
                <w:noProof/>
                <w:webHidden/>
              </w:rPr>
              <w:tab/>
            </w:r>
            <w:r>
              <w:rPr>
                <w:noProof/>
                <w:webHidden/>
              </w:rPr>
              <w:fldChar w:fldCharType="begin"/>
            </w:r>
            <w:r>
              <w:rPr>
                <w:noProof/>
                <w:webHidden/>
              </w:rPr>
              <w:instrText xml:space="preserve"> PAGEREF _Toc204774342 \h </w:instrText>
            </w:r>
            <w:r>
              <w:rPr>
                <w:noProof/>
                <w:webHidden/>
              </w:rPr>
            </w:r>
            <w:r>
              <w:rPr>
                <w:noProof/>
                <w:webHidden/>
              </w:rPr>
              <w:fldChar w:fldCharType="separate"/>
            </w:r>
            <w:r>
              <w:rPr>
                <w:noProof/>
                <w:webHidden/>
              </w:rPr>
              <w:t>40</w:t>
            </w:r>
            <w:r>
              <w:rPr>
                <w:noProof/>
                <w:webHidden/>
              </w:rPr>
              <w:fldChar w:fldCharType="end"/>
            </w:r>
          </w:hyperlink>
        </w:p>
        <w:p w14:paraId="097CF910" w14:textId="57F922A8"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43" w:history="1">
            <w:r w:rsidRPr="006B405C">
              <w:rPr>
                <w:rStyle w:val="Hyperlink"/>
                <w:noProof/>
              </w:rPr>
              <w:t>4.4.1 Historische Context &amp; Huidig Profiel</w:t>
            </w:r>
            <w:r>
              <w:rPr>
                <w:noProof/>
                <w:webHidden/>
              </w:rPr>
              <w:tab/>
            </w:r>
            <w:r>
              <w:rPr>
                <w:noProof/>
                <w:webHidden/>
              </w:rPr>
              <w:fldChar w:fldCharType="begin"/>
            </w:r>
            <w:r>
              <w:rPr>
                <w:noProof/>
                <w:webHidden/>
              </w:rPr>
              <w:instrText xml:space="preserve"> PAGEREF _Toc204774343 \h </w:instrText>
            </w:r>
            <w:r>
              <w:rPr>
                <w:noProof/>
                <w:webHidden/>
              </w:rPr>
            </w:r>
            <w:r>
              <w:rPr>
                <w:noProof/>
                <w:webHidden/>
              </w:rPr>
              <w:fldChar w:fldCharType="separate"/>
            </w:r>
            <w:r>
              <w:rPr>
                <w:noProof/>
                <w:webHidden/>
              </w:rPr>
              <w:t>40</w:t>
            </w:r>
            <w:r>
              <w:rPr>
                <w:noProof/>
                <w:webHidden/>
              </w:rPr>
              <w:fldChar w:fldCharType="end"/>
            </w:r>
          </w:hyperlink>
        </w:p>
        <w:p w14:paraId="1A6B9975" w14:textId="7CA93065"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44" w:history="1">
            <w:r w:rsidRPr="006B405C">
              <w:rPr>
                <w:rStyle w:val="Hyperlink"/>
                <w:noProof/>
              </w:rPr>
              <w:t>4.4.2 Toeristische Groeimarkers &amp; Potentieel</w:t>
            </w:r>
            <w:r>
              <w:rPr>
                <w:noProof/>
                <w:webHidden/>
              </w:rPr>
              <w:tab/>
            </w:r>
            <w:r>
              <w:rPr>
                <w:noProof/>
                <w:webHidden/>
              </w:rPr>
              <w:fldChar w:fldCharType="begin"/>
            </w:r>
            <w:r>
              <w:rPr>
                <w:noProof/>
                <w:webHidden/>
              </w:rPr>
              <w:instrText xml:space="preserve"> PAGEREF _Toc204774344 \h </w:instrText>
            </w:r>
            <w:r>
              <w:rPr>
                <w:noProof/>
                <w:webHidden/>
              </w:rPr>
            </w:r>
            <w:r>
              <w:rPr>
                <w:noProof/>
                <w:webHidden/>
              </w:rPr>
              <w:fldChar w:fldCharType="separate"/>
            </w:r>
            <w:r>
              <w:rPr>
                <w:noProof/>
                <w:webHidden/>
              </w:rPr>
              <w:t>41</w:t>
            </w:r>
            <w:r>
              <w:rPr>
                <w:noProof/>
                <w:webHidden/>
              </w:rPr>
              <w:fldChar w:fldCharType="end"/>
            </w:r>
          </w:hyperlink>
        </w:p>
        <w:p w14:paraId="2CEACB49" w14:textId="397B1B38"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45" w:history="1">
            <w:r w:rsidRPr="006B405C">
              <w:rPr>
                <w:rStyle w:val="Hyperlink"/>
                <w:noProof/>
              </w:rPr>
              <w:t>4.4.3 Vastgoedmarkt Analyse &amp; Investeringslandschap</w:t>
            </w:r>
            <w:r>
              <w:rPr>
                <w:noProof/>
                <w:webHidden/>
              </w:rPr>
              <w:tab/>
            </w:r>
            <w:r>
              <w:rPr>
                <w:noProof/>
                <w:webHidden/>
              </w:rPr>
              <w:fldChar w:fldCharType="begin"/>
            </w:r>
            <w:r>
              <w:rPr>
                <w:noProof/>
                <w:webHidden/>
              </w:rPr>
              <w:instrText xml:space="preserve"> PAGEREF _Toc204774345 \h </w:instrText>
            </w:r>
            <w:r>
              <w:rPr>
                <w:noProof/>
                <w:webHidden/>
              </w:rPr>
            </w:r>
            <w:r>
              <w:rPr>
                <w:noProof/>
                <w:webHidden/>
              </w:rPr>
              <w:fldChar w:fldCharType="separate"/>
            </w:r>
            <w:r>
              <w:rPr>
                <w:noProof/>
                <w:webHidden/>
              </w:rPr>
              <w:t>42</w:t>
            </w:r>
            <w:r>
              <w:rPr>
                <w:noProof/>
                <w:webHidden/>
              </w:rPr>
              <w:fldChar w:fldCharType="end"/>
            </w:r>
          </w:hyperlink>
        </w:p>
        <w:p w14:paraId="468588AF" w14:textId="42155292"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46" w:history="1">
            <w:r w:rsidRPr="006B405C">
              <w:rPr>
                <w:rStyle w:val="Hyperlink"/>
                <w:noProof/>
              </w:rPr>
              <w:t>4.4.4 Infrastructuur &amp; Bereikbaarheid</w:t>
            </w:r>
            <w:r>
              <w:rPr>
                <w:noProof/>
                <w:webHidden/>
              </w:rPr>
              <w:tab/>
            </w:r>
            <w:r>
              <w:rPr>
                <w:noProof/>
                <w:webHidden/>
              </w:rPr>
              <w:fldChar w:fldCharType="begin"/>
            </w:r>
            <w:r>
              <w:rPr>
                <w:noProof/>
                <w:webHidden/>
              </w:rPr>
              <w:instrText xml:space="preserve"> PAGEREF _Toc204774346 \h </w:instrText>
            </w:r>
            <w:r>
              <w:rPr>
                <w:noProof/>
                <w:webHidden/>
              </w:rPr>
            </w:r>
            <w:r>
              <w:rPr>
                <w:noProof/>
                <w:webHidden/>
              </w:rPr>
              <w:fldChar w:fldCharType="separate"/>
            </w:r>
            <w:r>
              <w:rPr>
                <w:noProof/>
                <w:webHidden/>
              </w:rPr>
              <w:t>43</w:t>
            </w:r>
            <w:r>
              <w:rPr>
                <w:noProof/>
                <w:webHidden/>
              </w:rPr>
              <w:fldChar w:fldCharType="end"/>
            </w:r>
          </w:hyperlink>
        </w:p>
        <w:p w14:paraId="0BD98143" w14:textId="6A4E18D3"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47" w:history="1">
            <w:r w:rsidRPr="006B405C">
              <w:rPr>
                <w:rStyle w:val="Hyperlink"/>
                <w:noProof/>
              </w:rPr>
              <w:t>4.4.5 Juridisch, Fiscale &amp; Overheidsbeleid</w:t>
            </w:r>
            <w:r>
              <w:rPr>
                <w:noProof/>
                <w:webHidden/>
              </w:rPr>
              <w:tab/>
            </w:r>
            <w:r>
              <w:rPr>
                <w:noProof/>
                <w:webHidden/>
              </w:rPr>
              <w:fldChar w:fldCharType="begin"/>
            </w:r>
            <w:r>
              <w:rPr>
                <w:noProof/>
                <w:webHidden/>
              </w:rPr>
              <w:instrText xml:space="preserve"> PAGEREF _Toc204774347 \h </w:instrText>
            </w:r>
            <w:r>
              <w:rPr>
                <w:noProof/>
                <w:webHidden/>
              </w:rPr>
            </w:r>
            <w:r>
              <w:rPr>
                <w:noProof/>
                <w:webHidden/>
              </w:rPr>
              <w:fldChar w:fldCharType="separate"/>
            </w:r>
            <w:r>
              <w:rPr>
                <w:noProof/>
                <w:webHidden/>
              </w:rPr>
              <w:t>43</w:t>
            </w:r>
            <w:r>
              <w:rPr>
                <w:noProof/>
                <w:webHidden/>
              </w:rPr>
              <w:fldChar w:fldCharType="end"/>
            </w:r>
          </w:hyperlink>
        </w:p>
        <w:p w14:paraId="32409918" w14:textId="1F813103"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48" w:history="1">
            <w:r w:rsidRPr="006B405C">
              <w:rPr>
                <w:rStyle w:val="Hyperlink"/>
                <w:noProof/>
              </w:rPr>
              <w:t>4.4.6 Financiële Projecties &amp; ROI Detail</w:t>
            </w:r>
            <w:r>
              <w:rPr>
                <w:noProof/>
                <w:webHidden/>
              </w:rPr>
              <w:tab/>
            </w:r>
            <w:r>
              <w:rPr>
                <w:noProof/>
                <w:webHidden/>
              </w:rPr>
              <w:fldChar w:fldCharType="begin"/>
            </w:r>
            <w:r>
              <w:rPr>
                <w:noProof/>
                <w:webHidden/>
              </w:rPr>
              <w:instrText xml:space="preserve"> PAGEREF _Toc204774348 \h </w:instrText>
            </w:r>
            <w:r>
              <w:rPr>
                <w:noProof/>
                <w:webHidden/>
              </w:rPr>
            </w:r>
            <w:r>
              <w:rPr>
                <w:noProof/>
                <w:webHidden/>
              </w:rPr>
              <w:fldChar w:fldCharType="separate"/>
            </w:r>
            <w:r>
              <w:rPr>
                <w:noProof/>
                <w:webHidden/>
              </w:rPr>
              <w:t>44</w:t>
            </w:r>
            <w:r>
              <w:rPr>
                <w:noProof/>
                <w:webHidden/>
              </w:rPr>
              <w:fldChar w:fldCharType="end"/>
            </w:r>
          </w:hyperlink>
        </w:p>
        <w:p w14:paraId="733DF892" w14:textId="0FB3CD25"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49" w:history="1">
            <w:r w:rsidRPr="006B405C">
              <w:rPr>
                <w:rStyle w:val="Hyperlink"/>
                <w:noProof/>
              </w:rPr>
              <w:t>4.4.7 Lokale Implementatiepartners &amp; Ondersteuning</w:t>
            </w:r>
            <w:r>
              <w:rPr>
                <w:noProof/>
                <w:webHidden/>
              </w:rPr>
              <w:tab/>
            </w:r>
            <w:r>
              <w:rPr>
                <w:noProof/>
                <w:webHidden/>
              </w:rPr>
              <w:fldChar w:fldCharType="begin"/>
            </w:r>
            <w:r>
              <w:rPr>
                <w:noProof/>
                <w:webHidden/>
              </w:rPr>
              <w:instrText xml:space="preserve"> PAGEREF _Toc204774349 \h </w:instrText>
            </w:r>
            <w:r>
              <w:rPr>
                <w:noProof/>
                <w:webHidden/>
              </w:rPr>
            </w:r>
            <w:r>
              <w:rPr>
                <w:noProof/>
                <w:webHidden/>
              </w:rPr>
              <w:fldChar w:fldCharType="separate"/>
            </w:r>
            <w:r>
              <w:rPr>
                <w:noProof/>
                <w:webHidden/>
              </w:rPr>
              <w:t>47</w:t>
            </w:r>
            <w:r>
              <w:rPr>
                <w:noProof/>
                <w:webHidden/>
              </w:rPr>
              <w:fldChar w:fldCharType="end"/>
            </w:r>
          </w:hyperlink>
        </w:p>
        <w:p w14:paraId="2B75E47D" w14:textId="2A924F2B" w:rsidR="00B12B0F" w:rsidRDefault="00B12B0F">
          <w:pPr>
            <w:pStyle w:val="Inhopg2"/>
            <w:tabs>
              <w:tab w:val="right" w:leader="dot" w:pos="9350"/>
            </w:tabs>
            <w:rPr>
              <w:rFonts w:asciiTheme="minorHAnsi" w:eastAsiaTheme="minorEastAsia" w:hAnsiTheme="minorHAnsi" w:cstheme="minorBidi"/>
              <w:noProof/>
              <w:kern w:val="2"/>
              <w:sz w:val="24"/>
              <w:szCs w:val="24"/>
              <w14:ligatures w14:val="standardContextual"/>
            </w:rPr>
          </w:pPr>
          <w:hyperlink w:anchor="_Toc204774350" w:history="1">
            <w:r w:rsidRPr="006B405C">
              <w:rPr>
                <w:rStyle w:val="Hyperlink"/>
                <w:noProof/>
              </w:rPr>
              <w:t>4.5 Mekongdelta, Vietnam</w:t>
            </w:r>
            <w:r>
              <w:rPr>
                <w:noProof/>
                <w:webHidden/>
              </w:rPr>
              <w:tab/>
            </w:r>
            <w:r>
              <w:rPr>
                <w:noProof/>
                <w:webHidden/>
              </w:rPr>
              <w:fldChar w:fldCharType="begin"/>
            </w:r>
            <w:r>
              <w:rPr>
                <w:noProof/>
                <w:webHidden/>
              </w:rPr>
              <w:instrText xml:space="preserve"> PAGEREF _Toc204774350 \h </w:instrText>
            </w:r>
            <w:r>
              <w:rPr>
                <w:noProof/>
                <w:webHidden/>
              </w:rPr>
            </w:r>
            <w:r>
              <w:rPr>
                <w:noProof/>
                <w:webHidden/>
              </w:rPr>
              <w:fldChar w:fldCharType="separate"/>
            </w:r>
            <w:r>
              <w:rPr>
                <w:noProof/>
                <w:webHidden/>
              </w:rPr>
              <w:t>47</w:t>
            </w:r>
            <w:r>
              <w:rPr>
                <w:noProof/>
                <w:webHidden/>
              </w:rPr>
              <w:fldChar w:fldCharType="end"/>
            </w:r>
          </w:hyperlink>
        </w:p>
        <w:p w14:paraId="64CB552B" w14:textId="2C0379C1"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51" w:history="1">
            <w:r w:rsidRPr="006B405C">
              <w:rPr>
                <w:rStyle w:val="Hyperlink"/>
                <w:noProof/>
              </w:rPr>
              <w:t>4.5.1 Historische Context &amp; Huidig Profiel</w:t>
            </w:r>
            <w:r>
              <w:rPr>
                <w:noProof/>
                <w:webHidden/>
              </w:rPr>
              <w:tab/>
            </w:r>
            <w:r>
              <w:rPr>
                <w:noProof/>
                <w:webHidden/>
              </w:rPr>
              <w:fldChar w:fldCharType="begin"/>
            </w:r>
            <w:r>
              <w:rPr>
                <w:noProof/>
                <w:webHidden/>
              </w:rPr>
              <w:instrText xml:space="preserve"> PAGEREF _Toc204774351 \h </w:instrText>
            </w:r>
            <w:r>
              <w:rPr>
                <w:noProof/>
                <w:webHidden/>
              </w:rPr>
            </w:r>
            <w:r>
              <w:rPr>
                <w:noProof/>
                <w:webHidden/>
              </w:rPr>
              <w:fldChar w:fldCharType="separate"/>
            </w:r>
            <w:r>
              <w:rPr>
                <w:noProof/>
                <w:webHidden/>
              </w:rPr>
              <w:t>47</w:t>
            </w:r>
            <w:r>
              <w:rPr>
                <w:noProof/>
                <w:webHidden/>
              </w:rPr>
              <w:fldChar w:fldCharType="end"/>
            </w:r>
          </w:hyperlink>
        </w:p>
        <w:p w14:paraId="678F3094" w14:textId="0FF3539D"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52" w:history="1">
            <w:r w:rsidRPr="006B405C">
              <w:rPr>
                <w:rStyle w:val="Hyperlink"/>
                <w:noProof/>
              </w:rPr>
              <w:t>4.5.2 Toeristische Groeimarkers &amp; Potentieel</w:t>
            </w:r>
            <w:r>
              <w:rPr>
                <w:noProof/>
                <w:webHidden/>
              </w:rPr>
              <w:tab/>
            </w:r>
            <w:r>
              <w:rPr>
                <w:noProof/>
                <w:webHidden/>
              </w:rPr>
              <w:fldChar w:fldCharType="begin"/>
            </w:r>
            <w:r>
              <w:rPr>
                <w:noProof/>
                <w:webHidden/>
              </w:rPr>
              <w:instrText xml:space="preserve"> PAGEREF _Toc204774352 \h </w:instrText>
            </w:r>
            <w:r>
              <w:rPr>
                <w:noProof/>
                <w:webHidden/>
              </w:rPr>
            </w:r>
            <w:r>
              <w:rPr>
                <w:noProof/>
                <w:webHidden/>
              </w:rPr>
              <w:fldChar w:fldCharType="separate"/>
            </w:r>
            <w:r>
              <w:rPr>
                <w:noProof/>
                <w:webHidden/>
              </w:rPr>
              <w:t>48</w:t>
            </w:r>
            <w:r>
              <w:rPr>
                <w:noProof/>
                <w:webHidden/>
              </w:rPr>
              <w:fldChar w:fldCharType="end"/>
            </w:r>
          </w:hyperlink>
        </w:p>
        <w:p w14:paraId="7B47956C" w14:textId="6F21B14B"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53" w:history="1">
            <w:r w:rsidRPr="006B405C">
              <w:rPr>
                <w:rStyle w:val="Hyperlink"/>
                <w:noProof/>
              </w:rPr>
              <w:t>4.5.3 Vastgoedmarkt Analyse &amp; Investeringslandschap</w:t>
            </w:r>
            <w:r>
              <w:rPr>
                <w:noProof/>
                <w:webHidden/>
              </w:rPr>
              <w:tab/>
            </w:r>
            <w:r>
              <w:rPr>
                <w:noProof/>
                <w:webHidden/>
              </w:rPr>
              <w:fldChar w:fldCharType="begin"/>
            </w:r>
            <w:r>
              <w:rPr>
                <w:noProof/>
                <w:webHidden/>
              </w:rPr>
              <w:instrText xml:space="preserve"> PAGEREF _Toc204774353 \h </w:instrText>
            </w:r>
            <w:r>
              <w:rPr>
                <w:noProof/>
                <w:webHidden/>
              </w:rPr>
            </w:r>
            <w:r>
              <w:rPr>
                <w:noProof/>
                <w:webHidden/>
              </w:rPr>
              <w:fldChar w:fldCharType="separate"/>
            </w:r>
            <w:r>
              <w:rPr>
                <w:noProof/>
                <w:webHidden/>
              </w:rPr>
              <w:t>49</w:t>
            </w:r>
            <w:r>
              <w:rPr>
                <w:noProof/>
                <w:webHidden/>
              </w:rPr>
              <w:fldChar w:fldCharType="end"/>
            </w:r>
          </w:hyperlink>
        </w:p>
        <w:p w14:paraId="043C5383" w14:textId="3B3AF99D"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54" w:history="1">
            <w:r w:rsidRPr="006B405C">
              <w:rPr>
                <w:rStyle w:val="Hyperlink"/>
                <w:noProof/>
              </w:rPr>
              <w:t>4.5.4 Infrastructuur &amp; Bereikbaarheid</w:t>
            </w:r>
            <w:r>
              <w:rPr>
                <w:noProof/>
                <w:webHidden/>
              </w:rPr>
              <w:tab/>
            </w:r>
            <w:r>
              <w:rPr>
                <w:noProof/>
                <w:webHidden/>
              </w:rPr>
              <w:fldChar w:fldCharType="begin"/>
            </w:r>
            <w:r>
              <w:rPr>
                <w:noProof/>
                <w:webHidden/>
              </w:rPr>
              <w:instrText xml:space="preserve"> PAGEREF _Toc204774354 \h </w:instrText>
            </w:r>
            <w:r>
              <w:rPr>
                <w:noProof/>
                <w:webHidden/>
              </w:rPr>
            </w:r>
            <w:r>
              <w:rPr>
                <w:noProof/>
                <w:webHidden/>
              </w:rPr>
              <w:fldChar w:fldCharType="separate"/>
            </w:r>
            <w:r>
              <w:rPr>
                <w:noProof/>
                <w:webHidden/>
              </w:rPr>
              <w:t>50</w:t>
            </w:r>
            <w:r>
              <w:rPr>
                <w:noProof/>
                <w:webHidden/>
              </w:rPr>
              <w:fldChar w:fldCharType="end"/>
            </w:r>
          </w:hyperlink>
        </w:p>
        <w:p w14:paraId="195C850F" w14:textId="2D32A1CB"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55" w:history="1">
            <w:r w:rsidRPr="006B405C">
              <w:rPr>
                <w:rStyle w:val="Hyperlink"/>
                <w:noProof/>
              </w:rPr>
              <w:t>4.5.5 Juridisch, Fiscale &amp; Overheidsbeleid</w:t>
            </w:r>
            <w:r>
              <w:rPr>
                <w:noProof/>
                <w:webHidden/>
              </w:rPr>
              <w:tab/>
            </w:r>
            <w:r>
              <w:rPr>
                <w:noProof/>
                <w:webHidden/>
              </w:rPr>
              <w:fldChar w:fldCharType="begin"/>
            </w:r>
            <w:r>
              <w:rPr>
                <w:noProof/>
                <w:webHidden/>
              </w:rPr>
              <w:instrText xml:space="preserve"> PAGEREF _Toc204774355 \h </w:instrText>
            </w:r>
            <w:r>
              <w:rPr>
                <w:noProof/>
                <w:webHidden/>
              </w:rPr>
            </w:r>
            <w:r>
              <w:rPr>
                <w:noProof/>
                <w:webHidden/>
              </w:rPr>
              <w:fldChar w:fldCharType="separate"/>
            </w:r>
            <w:r>
              <w:rPr>
                <w:noProof/>
                <w:webHidden/>
              </w:rPr>
              <w:t>50</w:t>
            </w:r>
            <w:r>
              <w:rPr>
                <w:noProof/>
                <w:webHidden/>
              </w:rPr>
              <w:fldChar w:fldCharType="end"/>
            </w:r>
          </w:hyperlink>
        </w:p>
        <w:p w14:paraId="0D695A55" w14:textId="60F65A56" w:rsidR="00B12B0F" w:rsidRDefault="00B12B0F">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4774356" w:history="1">
            <w:r w:rsidRPr="006B405C">
              <w:rPr>
                <w:rStyle w:val="Hyperlink"/>
                <w:noProof/>
              </w:rPr>
              <w:t>4.5.6 Financiële Projecties &amp; ROI Detail</w:t>
            </w:r>
            <w:r>
              <w:rPr>
                <w:noProof/>
                <w:webHidden/>
              </w:rPr>
              <w:tab/>
            </w:r>
            <w:r>
              <w:rPr>
                <w:noProof/>
                <w:webHidden/>
              </w:rPr>
              <w:fldChar w:fldCharType="begin"/>
            </w:r>
            <w:r>
              <w:rPr>
                <w:noProof/>
                <w:webHidden/>
              </w:rPr>
              <w:instrText xml:space="preserve"> PAGEREF _Toc204774356 \h </w:instrText>
            </w:r>
            <w:r>
              <w:rPr>
                <w:noProof/>
                <w:webHidden/>
              </w:rPr>
            </w:r>
            <w:r>
              <w:rPr>
                <w:noProof/>
                <w:webHidden/>
              </w:rPr>
              <w:fldChar w:fldCharType="separate"/>
            </w:r>
            <w:r>
              <w:rPr>
                <w:noProof/>
                <w:webHidden/>
              </w:rPr>
              <w:t>52</w:t>
            </w:r>
            <w:r>
              <w:rPr>
                <w:noProof/>
                <w:webHidden/>
              </w:rPr>
              <w:fldChar w:fldCharType="end"/>
            </w:r>
          </w:hyperlink>
        </w:p>
        <w:p w14:paraId="0D42A1A1" w14:textId="1DBB261A" w:rsidR="00A851EF" w:rsidRDefault="00A851EF">
          <w:r>
            <w:rPr>
              <w:b/>
              <w:bCs/>
            </w:rPr>
            <w:fldChar w:fldCharType="end"/>
          </w:r>
        </w:p>
      </w:sdtContent>
    </w:sdt>
    <w:p w14:paraId="6DFC972D" w14:textId="2B2D2FB2" w:rsidR="00A851EF" w:rsidRDefault="00A851EF">
      <w:pPr>
        <w:rPr>
          <w:rFonts w:ascii="Google Sans" w:eastAsia="Google Sans" w:hAnsi="Google Sans" w:cs="Google Sans"/>
          <w:b/>
          <w:color w:val="1B1C1D"/>
          <w:sz w:val="32"/>
          <w:szCs w:val="32"/>
        </w:rPr>
      </w:pPr>
    </w:p>
    <w:p w14:paraId="2C9C4378" w14:textId="77777777" w:rsidR="00A851EF" w:rsidRDefault="00A851EF">
      <w:pPr>
        <w:rPr>
          <w:rFonts w:ascii="Google Sans" w:eastAsia="Google Sans" w:hAnsi="Google Sans" w:cs="Google Sans"/>
          <w:b/>
          <w:color w:val="1B1C1D"/>
          <w:sz w:val="32"/>
          <w:szCs w:val="32"/>
        </w:rPr>
      </w:pPr>
    </w:p>
    <w:p w14:paraId="6605DECF" w14:textId="77777777" w:rsidR="00A851EF" w:rsidRDefault="00A851EF">
      <w:pPr>
        <w:rPr>
          <w:rFonts w:ascii="Google Sans" w:eastAsia="Google Sans" w:hAnsi="Google Sans" w:cs="Google Sans"/>
          <w:b/>
          <w:color w:val="1B1C1D"/>
          <w:sz w:val="32"/>
          <w:szCs w:val="32"/>
        </w:rPr>
      </w:pPr>
    </w:p>
    <w:p w14:paraId="7DAF45B1" w14:textId="77777777" w:rsidR="00A851EF" w:rsidRDefault="00A851EF">
      <w:pPr>
        <w:rPr>
          <w:rFonts w:ascii="Google Sans" w:eastAsia="Google Sans" w:hAnsi="Google Sans" w:cs="Google Sans"/>
          <w:b/>
          <w:color w:val="1B1C1D"/>
          <w:sz w:val="32"/>
          <w:szCs w:val="32"/>
        </w:rPr>
      </w:pPr>
    </w:p>
    <w:p w14:paraId="24A0500B" w14:textId="77777777" w:rsidR="00A851EF" w:rsidRDefault="00A851EF">
      <w:pPr>
        <w:rPr>
          <w:rFonts w:ascii="Google Sans" w:eastAsia="Google Sans" w:hAnsi="Google Sans" w:cs="Google Sans"/>
          <w:b/>
          <w:color w:val="1B1C1D"/>
          <w:sz w:val="32"/>
          <w:szCs w:val="32"/>
        </w:rPr>
      </w:pPr>
    </w:p>
    <w:p w14:paraId="150F5B58" w14:textId="77777777" w:rsidR="00A851EF" w:rsidRDefault="00A851EF">
      <w:pPr>
        <w:rPr>
          <w:rFonts w:ascii="Google Sans" w:eastAsia="Google Sans" w:hAnsi="Google Sans" w:cs="Google Sans"/>
          <w:b/>
          <w:color w:val="1B1C1D"/>
          <w:sz w:val="32"/>
          <w:szCs w:val="32"/>
        </w:rPr>
      </w:pPr>
    </w:p>
    <w:p w14:paraId="6C73DD91" w14:textId="77777777" w:rsidR="00A851EF" w:rsidRDefault="00A851EF">
      <w:pPr>
        <w:rPr>
          <w:rFonts w:ascii="Google Sans" w:eastAsia="Google Sans" w:hAnsi="Google Sans" w:cs="Google Sans"/>
          <w:b/>
          <w:color w:val="1B1C1D"/>
          <w:sz w:val="32"/>
          <w:szCs w:val="32"/>
        </w:rPr>
      </w:pPr>
    </w:p>
    <w:p w14:paraId="6BE6F4EF" w14:textId="77777777" w:rsidR="00A851EF" w:rsidRDefault="00A851EF">
      <w:pPr>
        <w:rPr>
          <w:rFonts w:ascii="Google Sans" w:eastAsia="Google Sans" w:hAnsi="Google Sans" w:cs="Google Sans"/>
          <w:b/>
          <w:color w:val="1B1C1D"/>
          <w:sz w:val="32"/>
          <w:szCs w:val="32"/>
        </w:rPr>
      </w:pPr>
    </w:p>
    <w:p w14:paraId="1ABBEE76" w14:textId="36B58D5A" w:rsidR="00B16B06" w:rsidRPr="00095CD7" w:rsidRDefault="00C75414" w:rsidP="00095CD7">
      <w:pPr>
        <w:pStyle w:val="Kop1"/>
        <w:rPr>
          <w:sz w:val="32"/>
          <w:szCs w:val="32"/>
        </w:rPr>
      </w:pPr>
      <w:bookmarkStart w:id="0" w:name="_Toc204774296"/>
      <w:r w:rsidRPr="00095CD7">
        <w:rPr>
          <w:sz w:val="32"/>
          <w:szCs w:val="32"/>
        </w:rPr>
        <w:lastRenderedPageBreak/>
        <w:t>Hoofdstuk 1: Executive Summary –De</w:t>
      </w:r>
      <w:r w:rsidR="00095CD7" w:rsidRPr="00095CD7">
        <w:rPr>
          <w:sz w:val="32"/>
          <w:szCs w:val="32"/>
        </w:rPr>
        <w:t xml:space="preserve"> </w:t>
      </w:r>
      <w:r w:rsidRPr="00095CD7">
        <w:rPr>
          <w:sz w:val="32"/>
          <w:szCs w:val="32"/>
        </w:rPr>
        <w:t>Investeringspropositie</w:t>
      </w:r>
      <w:bookmarkEnd w:id="0"/>
    </w:p>
    <w:p w14:paraId="36B7E90E"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48747CCD"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37E49F96" w14:textId="77777777" w:rsidR="00B16B06" w:rsidRPr="00095CD7" w:rsidRDefault="00C75414" w:rsidP="00095CD7">
      <w:pPr>
        <w:pStyle w:val="Kop2"/>
        <w:rPr>
          <w:szCs w:val="28"/>
        </w:rPr>
      </w:pPr>
      <w:bookmarkStart w:id="1" w:name="_Toc204774297"/>
      <w:r w:rsidRPr="00095CD7">
        <w:rPr>
          <w:szCs w:val="28"/>
        </w:rPr>
        <w:t>De Gouden Kans: Een Paradigmaverschuiving</w:t>
      </w:r>
      <w:bookmarkEnd w:id="1"/>
    </w:p>
    <w:p w14:paraId="58CB1289"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192F1D5"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De wereldwijde economie ondergaat een fundamentele transformatie, gedreven door veranderende maatschappelijke normen en technologische vooruitgang. Deze verschuiving heeft een unieke convergentie gecreëerd tussen explosieve, duurzame toerismegroei en fundamenteel ondergewaardeerd vastgoed in specifieke, vaak over het hoofd geziene regio's wereldwijd. De traditionele reispatronen, die zich historisch concentreerden op overvolle toeristische hotspots, maken plaats voor een vraag naar authentieke, </w:t>
      </w:r>
      <w:proofErr w:type="spellStart"/>
      <w:r>
        <w:rPr>
          <w:rFonts w:ascii="Google Sans Text" w:eastAsia="Google Sans Text" w:hAnsi="Google Sans Text" w:cs="Google Sans Text"/>
          <w:color w:val="1B1C1D"/>
          <w:sz w:val="24"/>
          <w:szCs w:val="24"/>
        </w:rPr>
        <w:t>immersieve</w:t>
      </w:r>
      <w:proofErr w:type="spellEnd"/>
      <w:r>
        <w:rPr>
          <w:rFonts w:ascii="Google Sans Text" w:eastAsia="Google Sans Text" w:hAnsi="Google Sans Text" w:cs="Google Sans Text"/>
          <w:color w:val="1B1C1D"/>
          <w:sz w:val="24"/>
          <w:szCs w:val="24"/>
        </w:rPr>
        <w:t xml:space="preserve"> en duurzame ervaringen. Deze nieuwe voorkeuren worden versterkt door de opkomst van digitale nomaden en de decentralisatie van werk, waardoor individuen en gezinnen langer op één locatie verblijven en op zoek gaan naar woonruimte die zowel functioneel als inspirerend is.</w:t>
      </w:r>
    </w:p>
    <w:p w14:paraId="7D54269B"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Deze macro-economische trends leiden tot een ongekende spreiding van toeristische vraag naar secundaire en rurale gebieden die voorheen buiten de radar van grote investeringen vielen. In deze gebieden is vastgoed vaak historisch ondergewaardeerd gebleven, niet weerspiegelend van de inherente culturele, natuurlijke en economische potentie. Het huidige moment biedt een zeldzame gelegenheid om te investeren in activa die een aanzienlijk groeipotentieel hebben door de stijgende vraag vanuit dit gedecentraliseerde, duurzame toerisme, terwijl de initiële investeringskosten relatief laag blijven. Het is een kans om te profiteren van de waardevermeerdering die onvermijdelijk volgt wanneer de markt de ware potentie van deze regio's erkent, ondersteund door een groeiende infrastructuur en een gunstig investeringsklimaat.</w:t>
      </w:r>
    </w:p>
    <w:p w14:paraId="205A0B49"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03ADCF5E" w14:textId="77777777" w:rsidR="00095CD7" w:rsidRDefault="00095CD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197E4554" w14:textId="77777777" w:rsidR="00B12B0F" w:rsidRDefault="00B12B0F">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167B9B38" w14:textId="77777777" w:rsidR="00095CD7" w:rsidRDefault="00095CD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396FC204" w14:textId="77777777" w:rsidR="00B16B06" w:rsidRPr="00095CD7" w:rsidRDefault="00C75414" w:rsidP="00095CD7">
      <w:pPr>
        <w:pStyle w:val="Kop2"/>
        <w:rPr>
          <w:szCs w:val="28"/>
        </w:rPr>
      </w:pPr>
      <w:bookmarkStart w:id="2" w:name="_Toc204774298"/>
      <w:r w:rsidRPr="00095CD7">
        <w:rPr>
          <w:szCs w:val="28"/>
        </w:rPr>
        <w:lastRenderedPageBreak/>
        <w:t>Kernboodschap van "De Gouden Kansen van Nu"</w:t>
      </w:r>
      <w:bookmarkEnd w:id="2"/>
    </w:p>
    <w:p w14:paraId="0F72ECC5"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4F2B7F05" w14:textId="52B4D1DC" w:rsidR="00095CD7"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Gouden Kansen van Nu" presenteert een complete, risicogemeten en end-</w:t>
      </w:r>
      <w:proofErr w:type="spellStart"/>
      <w:r>
        <w:rPr>
          <w:rFonts w:ascii="Google Sans Text" w:eastAsia="Google Sans Text" w:hAnsi="Google Sans Text" w:cs="Google Sans Text"/>
          <w:color w:val="1B1C1D"/>
          <w:sz w:val="24"/>
          <w:szCs w:val="24"/>
        </w:rPr>
        <w:t>to</w:t>
      </w:r>
      <w:proofErr w:type="spellEnd"/>
      <w:r>
        <w:rPr>
          <w:rFonts w:ascii="Google Sans Text" w:eastAsia="Google Sans Text" w:hAnsi="Google Sans Text" w:cs="Google Sans Text"/>
          <w:color w:val="1B1C1D"/>
          <w:sz w:val="24"/>
          <w:szCs w:val="24"/>
        </w:rPr>
        <w:t xml:space="preserve">-end serviceoplossing voor strategische, winstgevende vastgoedinvesteringen. De propositie is ontworpen om institutionele investeerders, vastgoedfondsen en strategische investeringsmaatschappijen te begeleiden bij het identificeren, verwerven, renoveren en beheren van vastgoed in deze veelbelovende opkomende markten. De focus ligt hierbij op </w:t>
      </w:r>
      <w:proofErr w:type="spellStart"/>
      <w:r>
        <w:rPr>
          <w:rFonts w:ascii="Google Sans Text" w:eastAsia="Google Sans Text" w:hAnsi="Google Sans Text" w:cs="Google Sans Text"/>
          <w:color w:val="1B1C1D"/>
          <w:sz w:val="24"/>
          <w:szCs w:val="24"/>
        </w:rPr>
        <w:t>langetermijnwaardecreatie</w:t>
      </w:r>
      <w:proofErr w:type="spellEnd"/>
      <w:r>
        <w:rPr>
          <w:rFonts w:ascii="Google Sans Text" w:eastAsia="Google Sans Text" w:hAnsi="Google Sans Text" w:cs="Google Sans Text"/>
          <w:color w:val="1B1C1D"/>
          <w:sz w:val="24"/>
          <w:szCs w:val="24"/>
        </w:rPr>
        <w:t xml:space="preserve"> en duurzaamheid, niet alleen in financieel opzicht, maar ook door het bevorderen van lokaal toerisme dat de gemeenschappen ten goede komt en de ecologische voetafdruk minimaliseert. Door een diepgaande analyse en een gestructureerde aanpak wordt de winstgevendheid van een investeringscasus van €100.000 volledig onderbouwd, de beheersbaarheid van risico's aangetoond en de compleetheid van de geboden end-</w:t>
      </w:r>
      <w:proofErr w:type="spellStart"/>
      <w:r>
        <w:rPr>
          <w:rFonts w:ascii="Google Sans Text" w:eastAsia="Google Sans Text" w:hAnsi="Google Sans Text" w:cs="Google Sans Text"/>
          <w:color w:val="1B1C1D"/>
          <w:sz w:val="24"/>
          <w:szCs w:val="24"/>
        </w:rPr>
        <w:t>to</w:t>
      </w:r>
      <w:proofErr w:type="spellEnd"/>
      <w:r>
        <w:rPr>
          <w:rFonts w:ascii="Google Sans Text" w:eastAsia="Google Sans Text" w:hAnsi="Google Sans Text" w:cs="Google Sans Text"/>
          <w:color w:val="1B1C1D"/>
          <w:sz w:val="24"/>
          <w:szCs w:val="24"/>
        </w:rPr>
        <w:t>-end ondersteuning onweerlegbaar bewezen. Dit rapport dient als het kernmateriaal om vrijwel elke vraag van een ervaren investeerder te beantwoorden, zonder directe behoefte aan additionele documentatie.</w:t>
      </w:r>
    </w:p>
    <w:p w14:paraId="6E8944A5" w14:textId="77777777" w:rsidR="00B16B06" w:rsidRPr="00095CD7" w:rsidRDefault="00C75414" w:rsidP="00095CD7">
      <w:pPr>
        <w:pStyle w:val="Kop2"/>
        <w:rPr>
          <w:szCs w:val="28"/>
        </w:rPr>
      </w:pPr>
      <w:bookmarkStart w:id="3" w:name="_Toc204774299"/>
      <w:r w:rsidRPr="00095CD7">
        <w:rPr>
          <w:szCs w:val="28"/>
        </w:rPr>
        <w:t>Top 3 Strategische Aanbevelingen</w:t>
      </w:r>
      <w:bookmarkEnd w:id="3"/>
    </w:p>
    <w:p w14:paraId="231B5259"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A32E317"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Op basis van een uitgebreide analyse van de dataset, komen de volgende drie regio's naar voren als de meest overtuigende investeringskansen, elk met unieke verkoopargumenten, aantrekkelijke ROI-ranges en een beheersbaar risicoprofiel:</w:t>
      </w:r>
    </w:p>
    <w:p w14:paraId="3D3EE37D" w14:textId="77777777" w:rsidR="00B16B06" w:rsidRDefault="00C75414" w:rsidP="00095CD7">
      <w:pPr>
        <w:pStyle w:val="Kop3"/>
      </w:pPr>
      <w:bookmarkStart w:id="4" w:name="_Toc204774300"/>
      <w:proofErr w:type="spellStart"/>
      <w:r>
        <w:t>Dumaguete</w:t>
      </w:r>
      <w:proofErr w:type="spellEnd"/>
      <w:r>
        <w:t>, Filipijnen:</w:t>
      </w:r>
      <w:bookmarkEnd w:id="4"/>
    </w:p>
    <w:p w14:paraId="30AA0F19" w14:textId="77777777" w:rsidR="00B16B06" w:rsidRDefault="00C75414" w:rsidP="00BE01A1">
      <w:pPr>
        <w:numPr>
          <w:ilvl w:val="1"/>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USP's:</w:t>
      </w:r>
      <w:r>
        <w:rPr>
          <w:rFonts w:ascii="Google Sans Text" w:eastAsia="Google Sans Text" w:hAnsi="Google Sans Text" w:cs="Google Sans Text"/>
          <w:color w:val="1B1C1D"/>
          <w:sz w:val="24"/>
          <w:szCs w:val="24"/>
        </w:rPr>
        <w:t xml:space="preserve"> Een snelgroeiende toeristische hub met een bloeiende universiteitsstad en toegang tot ongerepte natuurlijke schoonheid, waaronder duiklocaties van wereldklasse en nabijgelegen eilanden. De stad is een knooppunt voor zowel lokale als internationale toeristen die op zoek zijn naar een authentieke Filipijnse ervaring buiten de overvolle resorts.</w:t>
      </w:r>
    </w:p>
    <w:p w14:paraId="07120003" w14:textId="77777777" w:rsidR="00B16B06" w:rsidRDefault="00C75414" w:rsidP="00BE01A1">
      <w:pPr>
        <w:numPr>
          <w:ilvl w:val="1"/>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Verwachte ROI-range:</w:t>
      </w:r>
      <w:r>
        <w:rPr>
          <w:rFonts w:ascii="Google Sans Text" w:eastAsia="Google Sans Text" w:hAnsi="Google Sans Text" w:cs="Google Sans Text"/>
          <w:color w:val="1B1C1D"/>
          <w:sz w:val="24"/>
          <w:szCs w:val="24"/>
        </w:rPr>
        <w:t xml:space="preserve"> 18-25%.</w:t>
      </w:r>
    </w:p>
    <w:p w14:paraId="589722F8" w14:textId="77777777" w:rsidR="00B16B06" w:rsidRDefault="00C75414" w:rsidP="00BE01A1">
      <w:pPr>
        <w:numPr>
          <w:ilvl w:val="1"/>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Risicopositionering:</w:t>
      </w:r>
      <w:r>
        <w:rPr>
          <w:rFonts w:ascii="Google Sans Text" w:eastAsia="Google Sans Text" w:hAnsi="Google Sans Text" w:cs="Google Sans Text"/>
          <w:color w:val="1B1C1D"/>
          <w:sz w:val="24"/>
          <w:szCs w:val="24"/>
        </w:rPr>
        <w:t xml:space="preserve"> Gemiddeld. De risico's omvatten lokale regelgeving en de noodzaak van zorgvuldige </w:t>
      </w:r>
      <w:proofErr w:type="spellStart"/>
      <w:r>
        <w:rPr>
          <w:rFonts w:ascii="Google Sans Text" w:eastAsia="Google Sans Text" w:hAnsi="Google Sans Text" w:cs="Google Sans Text"/>
          <w:color w:val="1B1C1D"/>
          <w:sz w:val="24"/>
          <w:szCs w:val="24"/>
        </w:rPr>
        <w:t>due</w:t>
      </w:r>
      <w:proofErr w:type="spellEnd"/>
      <w:r>
        <w:rPr>
          <w:rFonts w:ascii="Google Sans Text" w:eastAsia="Google Sans Text" w:hAnsi="Google Sans Text" w:cs="Google Sans Text"/>
          <w:color w:val="1B1C1D"/>
          <w:sz w:val="24"/>
          <w:szCs w:val="24"/>
        </w:rPr>
        <w:t xml:space="preserve"> diligence, maar worden gemitigeerd door een stabiele economische groei en een groeiende middenklasse.</w:t>
      </w:r>
    </w:p>
    <w:p w14:paraId="3925608E" w14:textId="77777777" w:rsidR="00B16B06" w:rsidRDefault="00C75414" w:rsidP="00BE01A1">
      <w:pPr>
        <w:numPr>
          <w:ilvl w:val="1"/>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Kern-</w:t>
      </w:r>
      <w:proofErr w:type="spellStart"/>
      <w:r>
        <w:rPr>
          <w:rFonts w:ascii="Google Sans Text" w:eastAsia="Google Sans Text" w:hAnsi="Google Sans Text" w:cs="Google Sans Text"/>
          <w:b/>
          <w:color w:val="1B1C1D"/>
          <w:sz w:val="24"/>
          <w:szCs w:val="24"/>
        </w:rPr>
        <w:t>KPI's</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Jaarlijkse toeristische groei &gt;15%, vastgoedprijs/m² &lt;€800.</w:t>
      </w:r>
    </w:p>
    <w:p w14:paraId="69F606F8" w14:textId="77777777" w:rsidR="00B16B06" w:rsidRDefault="00C75414" w:rsidP="00095CD7">
      <w:pPr>
        <w:pStyle w:val="Kop3"/>
      </w:pPr>
      <w:bookmarkStart w:id="5" w:name="_Toc204774301"/>
      <w:r>
        <w:lastRenderedPageBreak/>
        <w:t>Landelijk Albanië:</w:t>
      </w:r>
      <w:bookmarkEnd w:id="5"/>
    </w:p>
    <w:p w14:paraId="1E763AB4" w14:textId="77777777" w:rsidR="00B16B06" w:rsidRDefault="00C75414" w:rsidP="00BE01A1">
      <w:pPr>
        <w:numPr>
          <w:ilvl w:val="1"/>
          <w:numId w:val="3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USP's:</w:t>
      </w:r>
      <w:r>
        <w:rPr>
          <w:rFonts w:ascii="Google Sans Text" w:eastAsia="Google Sans Text" w:hAnsi="Google Sans Text" w:cs="Google Sans Text"/>
          <w:color w:val="1B1C1D"/>
          <w:sz w:val="24"/>
          <w:szCs w:val="24"/>
        </w:rPr>
        <w:t xml:space="preserve"> Een opkomende toeristische bestemming in Europa met een rijke geschiedenis, ongerepte berglandschappen en een groeiende interesse in ecotoerisme en </w:t>
      </w:r>
      <w:proofErr w:type="spellStart"/>
      <w:r>
        <w:rPr>
          <w:rFonts w:ascii="Google Sans Text" w:eastAsia="Google Sans Text" w:hAnsi="Google Sans Text" w:cs="Google Sans Text"/>
          <w:color w:val="1B1C1D"/>
          <w:sz w:val="24"/>
          <w:szCs w:val="24"/>
        </w:rPr>
        <w:t>agrotourisme</w:t>
      </w:r>
      <w:proofErr w:type="spellEnd"/>
      <w:r>
        <w:rPr>
          <w:rFonts w:ascii="Google Sans Text" w:eastAsia="Google Sans Text" w:hAnsi="Google Sans Text" w:cs="Google Sans Text"/>
          <w:color w:val="1B1C1D"/>
          <w:sz w:val="24"/>
          <w:szCs w:val="24"/>
        </w:rPr>
        <w:t>. De Albanese overheid stimuleert actief investeringen in toerisme, met name in landelijke gebieden.</w:t>
      </w:r>
    </w:p>
    <w:p w14:paraId="38B6C05E" w14:textId="77777777" w:rsidR="00B16B06" w:rsidRDefault="00C75414" w:rsidP="00BE01A1">
      <w:pPr>
        <w:numPr>
          <w:ilvl w:val="1"/>
          <w:numId w:val="3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Verwachte ROI-range:</w:t>
      </w:r>
      <w:r>
        <w:rPr>
          <w:rFonts w:ascii="Google Sans Text" w:eastAsia="Google Sans Text" w:hAnsi="Google Sans Text" w:cs="Google Sans Text"/>
          <w:color w:val="1B1C1D"/>
          <w:sz w:val="24"/>
          <w:szCs w:val="24"/>
        </w:rPr>
        <w:t xml:space="preserve"> 15-22%.</w:t>
      </w:r>
    </w:p>
    <w:p w14:paraId="55FE99BC" w14:textId="77777777" w:rsidR="00B16B06" w:rsidRDefault="00C75414" w:rsidP="00BE01A1">
      <w:pPr>
        <w:numPr>
          <w:ilvl w:val="1"/>
          <w:numId w:val="3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Risicopositionering:</w:t>
      </w:r>
      <w:r>
        <w:rPr>
          <w:rFonts w:ascii="Google Sans Text" w:eastAsia="Google Sans Text" w:hAnsi="Google Sans Text" w:cs="Google Sans Text"/>
          <w:color w:val="1B1C1D"/>
          <w:sz w:val="24"/>
          <w:szCs w:val="24"/>
        </w:rPr>
        <w:t xml:space="preserve"> Gemiddeld-Laag. De belangrijkste risico's zijn de relatieve onbekendheid van de markt en de noodzaak van lokale expertise, maar deze worden gecompenseerd door overheidsstimulansen en een gunstige ligging nabij de EU.</w:t>
      </w:r>
    </w:p>
    <w:p w14:paraId="235C94FE" w14:textId="77777777" w:rsidR="00B16B06" w:rsidRDefault="00C75414" w:rsidP="00BE01A1">
      <w:pPr>
        <w:numPr>
          <w:ilvl w:val="1"/>
          <w:numId w:val="3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Kern-</w:t>
      </w:r>
      <w:proofErr w:type="spellStart"/>
      <w:r>
        <w:rPr>
          <w:rFonts w:ascii="Google Sans Text" w:eastAsia="Google Sans Text" w:hAnsi="Google Sans Text" w:cs="Google Sans Text"/>
          <w:b/>
          <w:color w:val="1B1C1D"/>
          <w:sz w:val="24"/>
          <w:szCs w:val="24"/>
        </w:rPr>
        <w:t>KPI's</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Jaarlijkse toeristische groei &gt;12%, vastgoedprijs/m² &lt;€700.</w:t>
      </w:r>
    </w:p>
    <w:p w14:paraId="31CCA9FE" w14:textId="77777777" w:rsidR="00B16B06" w:rsidRDefault="00C75414" w:rsidP="00095CD7">
      <w:pPr>
        <w:pStyle w:val="Kop3"/>
      </w:pPr>
      <w:bookmarkStart w:id="6" w:name="_Toc204774302"/>
      <w:r>
        <w:t>Landelijk Colombia (Koffie-as):</w:t>
      </w:r>
      <w:bookmarkEnd w:id="6"/>
    </w:p>
    <w:p w14:paraId="13A24753" w14:textId="77777777" w:rsidR="00B16B06" w:rsidRDefault="00C75414" w:rsidP="00BE01A1">
      <w:pPr>
        <w:numPr>
          <w:ilvl w:val="1"/>
          <w:numId w:val="5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USP's:</w:t>
      </w:r>
      <w:r>
        <w:rPr>
          <w:rFonts w:ascii="Google Sans Text" w:eastAsia="Google Sans Text" w:hAnsi="Google Sans Text" w:cs="Google Sans Text"/>
          <w:color w:val="1B1C1D"/>
          <w:sz w:val="24"/>
          <w:szCs w:val="24"/>
        </w:rPr>
        <w:t xml:space="preserve"> De wereldberoemde Koffie-as biedt een unieke combinatie van cultureel erfgoed, adembenemende natuur en een groeiende vraag naar </w:t>
      </w:r>
      <w:proofErr w:type="spellStart"/>
      <w:r>
        <w:rPr>
          <w:rFonts w:ascii="Google Sans Text" w:eastAsia="Google Sans Text" w:hAnsi="Google Sans Text" w:cs="Google Sans Text"/>
          <w:color w:val="1B1C1D"/>
          <w:sz w:val="24"/>
          <w:szCs w:val="24"/>
        </w:rPr>
        <w:t>agrotourisme</w:t>
      </w:r>
      <w:proofErr w:type="spellEnd"/>
      <w:r>
        <w:rPr>
          <w:rFonts w:ascii="Google Sans Text" w:eastAsia="Google Sans Text" w:hAnsi="Google Sans Text" w:cs="Google Sans Text"/>
          <w:color w:val="1B1C1D"/>
          <w:sz w:val="24"/>
          <w:szCs w:val="24"/>
        </w:rPr>
        <w:t xml:space="preserve"> en avontuurlijk toerisme. De regio profiteert van een verbeterde veiligheidssituatie en overheidsinitiatieven om toerisme te stimuleren.</w:t>
      </w:r>
    </w:p>
    <w:p w14:paraId="5396EAA8" w14:textId="77777777" w:rsidR="00B16B06" w:rsidRDefault="00C75414" w:rsidP="00BE01A1">
      <w:pPr>
        <w:numPr>
          <w:ilvl w:val="1"/>
          <w:numId w:val="5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Verwachte ROI-range:</w:t>
      </w:r>
      <w:r>
        <w:rPr>
          <w:rFonts w:ascii="Google Sans Text" w:eastAsia="Google Sans Text" w:hAnsi="Google Sans Text" w:cs="Google Sans Text"/>
          <w:color w:val="1B1C1D"/>
          <w:sz w:val="24"/>
          <w:szCs w:val="24"/>
        </w:rPr>
        <w:t xml:space="preserve"> 16-23%.</w:t>
      </w:r>
    </w:p>
    <w:p w14:paraId="5FB50F03" w14:textId="77777777" w:rsidR="00B16B06" w:rsidRDefault="00C75414" w:rsidP="00BE01A1">
      <w:pPr>
        <w:numPr>
          <w:ilvl w:val="1"/>
          <w:numId w:val="5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Risicopositionering:</w:t>
      </w:r>
      <w:r>
        <w:rPr>
          <w:rFonts w:ascii="Google Sans Text" w:eastAsia="Google Sans Text" w:hAnsi="Google Sans Text" w:cs="Google Sans Text"/>
          <w:color w:val="1B1C1D"/>
          <w:sz w:val="24"/>
          <w:szCs w:val="24"/>
        </w:rPr>
        <w:t xml:space="preserve"> Gemiddeld. Historische percepties van veiligheid vormen een risico, maar de realiteit van aanzienlijke verbeteringen en gerichte toeristische ontwikkeling mitigeert dit.</w:t>
      </w:r>
    </w:p>
    <w:p w14:paraId="400DDA14" w14:textId="77777777" w:rsidR="00B16B06" w:rsidRDefault="00C75414" w:rsidP="00BE01A1">
      <w:pPr>
        <w:numPr>
          <w:ilvl w:val="1"/>
          <w:numId w:val="5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Kern-</w:t>
      </w:r>
      <w:proofErr w:type="spellStart"/>
      <w:r>
        <w:rPr>
          <w:rFonts w:ascii="Google Sans Text" w:eastAsia="Google Sans Text" w:hAnsi="Google Sans Text" w:cs="Google Sans Text"/>
          <w:b/>
          <w:color w:val="1B1C1D"/>
          <w:sz w:val="24"/>
          <w:szCs w:val="24"/>
        </w:rPr>
        <w:t>KPI's</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Jaarlijkse toeristische groei &gt;10%, vastgoedprijs/m² &lt;€900.</w:t>
      </w:r>
    </w:p>
    <w:p w14:paraId="6E7411FF"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75E35094" w14:textId="77777777" w:rsidR="00B16B06" w:rsidRPr="00095CD7" w:rsidRDefault="00C75414" w:rsidP="00095CD7">
      <w:pPr>
        <w:pStyle w:val="Kop2"/>
        <w:rPr>
          <w:szCs w:val="28"/>
        </w:rPr>
      </w:pPr>
      <w:bookmarkStart w:id="7" w:name="_Toc204774303"/>
      <w:r w:rsidRPr="00095CD7">
        <w:rPr>
          <w:szCs w:val="28"/>
        </w:rPr>
        <w:t>Unieke Waardecreatie &amp; Concurrentievoordeel</w:t>
      </w:r>
      <w:bookmarkEnd w:id="7"/>
    </w:p>
    <w:p w14:paraId="2C97422A"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41D21D99"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Dit rapport en de onderliggende analyse bieden een superieur inzicht en operationeel voordeel ten opzichte van generieke marktrapporten. De </w:t>
      </w:r>
      <w:proofErr w:type="spellStart"/>
      <w:r>
        <w:rPr>
          <w:rFonts w:ascii="Google Sans Text" w:eastAsia="Google Sans Text" w:hAnsi="Google Sans Text" w:cs="Google Sans Text"/>
          <w:color w:val="1B1C1D"/>
          <w:sz w:val="24"/>
          <w:szCs w:val="24"/>
        </w:rPr>
        <w:t>waardecreatie</w:t>
      </w:r>
      <w:proofErr w:type="spellEnd"/>
      <w:r>
        <w:rPr>
          <w:rFonts w:ascii="Google Sans Text" w:eastAsia="Google Sans Text" w:hAnsi="Google Sans Text" w:cs="Google Sans Text"/>
          <w:color w:val="1B1C1D"/>
          <w:sz w:val="24"/>
          <w:szCs w:val="24"/>
        </w:rPr>
        <w:t xml:space="preserve"> is drieledig:</w:t>
      </w:r>
    </w:p>
    <w:p w14:paraId="34C65657" w14:textId="77777777" w:rsidR="00B16B06" w:rsidRDefault="00C75414" w:rsidP="00BE01A1">
      <w:pPr>
        <w:numPr>
          <w:ilvl w:val="0"/>
          <w:numId w:val="6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Diepgaande, Data-gedreven Analyse:</w:t>
      </w:r>
      <w:r>
        <w:rPr>
          <w:rFonts w:ascii="Google Sans Text" w:eastAsia="Google Sans Text" w:hAnsi="Google Sans Text" w:cs="Google Sans Text"/>
          <w:color w:val="1B1C1D"/>
          <w:sz w:val="24"/>
          <w:szCs w:val="24"/>
        </w:rPr>
        <w:t xml:space="preserve"> In tegenstelling tot oppervlakkige overzichten, baseert dit rapport zich op een robuuste methodologie die een breed scala aan gevalideerde databronnen omvat, van officiële statistieken tot real-time short-term </w:t>
      </w:r>
      <w:proofErr w:type="spellStart"/>
      <w:r>
        <w:rPr>
          <w:rFonts w:ascii="Google Sans Text" w:eastAsia="Google Sans Text" w:hAnsi="Google Sans Text" w:cs="Google Sans Text"/>
          <w:color w:val="1B1C1D"/>
          <w:sz w:val="24"/>
          <w:szCs w:val="24"/>
        </w:rPr>
        <w:t>rental</w:t>
      </w:r>
      <w:proofErr w:type="spellEnd"/>
      <w:r>
        <w:rPr>
          <w:rFonts w:ascii="Google Sans Text" w:eastAsia="Google Sans Text" w:hAnsi="Google Sans Text" w:cs="Google Sans Text"/>
          <w:color w:val="1B1C1D"/>
          <w:sz w:val="24"/>
          <w:szCs w:val="24"/>
        </w:rPr>
        <w:t xml:space="preserve"> platform data en lokale expertinzichten. Dit stelt een ongekend gedetailleerd en accuraat beeld van de marktdynamiek samen, waardoor verborgen kansen worden blootgelegd die door traditionele analyses </w:t>
      </w:r>
      <w:r>
        <w:rPr>
          <w:rFonts w:ascii="Google Sans Text" w:eastAsia="Google Sans Text" w:hAnsi="Google Sans Text" w:cs="Google Sans Text"/>
          <w:color w:val="1B1C1D"/>
          <w:sz w:val="24"/>
          <w:szCs w:val="24"/>
        </w:rPr>
        <w:lastRenderedPageBreak/>
        <w:t>worden gemist. De focus op "ondergewaardeerd" vastgoed gaat verder dan alleen de prijs per vierkante meter, door factoren zoals lokale inkomensniveaus, bouwkosten versus verkoopprijzen en historische waardevermeerdering in de analyse te betrekken.</w:t>
      </w:r>
    </w:p>
    <w:p w14:paraId="37EB26B1" w14:textId="77777777" w:rsidR="00B16B06" w:rsidRDefault="00C75414" w:rsidP="00BE01A1">
      <w:pPr>
        <w:numPr>
          <w:ilvl w:val="0"/>
          <w:numId w:val="6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Praktische Implementatiekaders:</w:t>
      </w:r>
      <w:r>
        <w:rPr>
          <w:rFonts w:ascii="Google Sans Text" w:eastAsia="Google Sans Text" w:hAnsi="Google Sans Text" w:cs="Google Sans Text"/>
          <w:color w:val="1B1C1D"/>
          <w:sz w:val="24"/>
          <w:szCs w:val="24"/>
        </w:rPr>
        <w:t xml:space="preserve"> Het rapport biedt niet alleen theoretische inzichten, maar ook concrete, uitvoerbare strategieën. Het omvat gedetailleerde financiële projecties, realistische renovatiekostenramingen en een uitgebreid risicobeoordelings- en mitigatiekader. Deze praktische aanpak stelt investeerders in staat om weloverwogen beslissingen te nemen en de implementatie van hun investeringsstrategie efficiënt te plannen. De end-</w:t>
      </w:r>
      <w:proofErr w:type="spellStart"/>
      <w:r>
        <w:rPr>
          <w:rFonts w:ascii="Google Sans Text" w:eastAsia="Google Sans Text" w:hAnsi="Google Sans Text" w:cs="Google Sans Text"/>
          <w:color w:val="1B1C1D"/>
          <w:sz w:val="24"/>
          <w:szCs w:val="24"/>
        </w:rPr>
        <w:t>to</w:t>
      </w:r>
      <w:proofErr w:type="spellEnd"/>
      <w:r>
        <w:rPr>
          <w:rFonts w:ascii="Google Sans Text" w:eastAsia="Google Sans Text" w:hAnsi="Google Sans Text" w:cs="Google Sans Text"/>
          <w:color w:val="1B1C1D"/>
          <w:sz w:val="24"/>
          <w:szCs w:val="24"/>
        </w:rPr>
        <w:t>-end ondersteuning, van acquisitie tot property management, minimaliseert de operationele last voor de investeerder.</w:t>
      </w:r>
    </w:p>
    <w:p w14:paraId="53381B08" w14:textId="77777777" w:rsidR="00B16B06" w:rsidRDefault="00C75414" w:rsidP="00BE01A1">
      <w:pPr>
        <w:numPr>
          <w:ilvl w:val="0"/>
          <w:numId w:val="68"/>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Interactieve Applicatie &amp; Voortdurende Ondersteuning:</w:t>
      </w:r>
      <w:r>
        <w:rPr>
          <w:rFonts w:ascii="Google Sans Text" w:eastAsia="Google Sans Text" w:hAnsi="Google Sans Text" w:cs="Google Sans Text"/>
          <w:color w:val="1B1C1D"/>
          <w:sz w:val="24"/>
          <w:szCs w:val="24"/>
        </w:rPr>
        <w:t xml:space="preserve"> De analyse wordt aangevuld met toegang tot een interactieve applicatie, die investeerders in staat stelt om scenario's te simuleren en dieper in de data te duiken. Dit dynamische hulpmiddel, in combinatie met een geverifieerd netwerk van lokale partners en continue communicatie, zorgt voor een ongeëvenaard niveau van transparantie en operationele ondersteuning. Dit vermindert de instapdrempel en de operationele risico's aanzienlijk, wat cruciaal is in opkomende markten. De combinatie van diepgaande analyse, praktische uitvoerbaarheid en voortdurende, technologisch ondersteunde begeleiding positioneert "De Gouden Kansen van Nu" als de superieure partner voor succesvolle vastgoedinvesteringen in deze unieke markten.</w:t>
      </w:r>
    </w:p>
    <w:p w14:paraId="2A71EDBB"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1617E24D" w14:textId="77777777" w:rsidR="00095CD7" w:rsidRDefault="00095CD7" w:rsidP="00095CD7">
      <w:pPr>
        <w:pStyle w:val="Kop1"/>
        <w:rPr>
          <w:sz w:val="32"/>
          <w:szCs w:val="32"/>
        </w:rPr>
      </w:pPr>
    </w:p>
    <w:p w14:paraId="23445795" w14:textId="77777777" w:rsidR="00095CD7" w:rsidRDefault="00095CD7" w:rsidP="00095CD7">
      <w:pPr>
        <w:pStyle w:val="Kop1"/>
        <w:rPr>
          <w:sz w:val="32"/>
          <w:szCs w:val="32"/>
        </w:rPr>
      </w:pPr>
    </w:p>
    <w:p w14:paraId="3AFE2120" w14:textId="77777777" w:rsidR="00095CD7" w:rsidRDefault="00095CD7" w:rsidP="00095CD7">
      <w:pPr>
        <w:pStyle w:val="Kop1"/>
        <w:rPr>
          <w:sz w:val="32"/>
          <w:szCs w:val="32"/>
        </w:rPr>
      </w:pPr>
    </w:p>
    <w:p w14:paraId="1A4FCA6B" w14:textId="77777777" w:rsidR="00095CD7" w:rsidRDefault="00095CD7" w:rsidP="00095CD7">
      <w:pPr>
        <w:pStyle w:val="Kop1"/>
        <w:rPr>
          <w:sz w:val="32"/>
          <w:szCs w:val="32"/>
        </w:rPr>
      </w:pPr>
    </w:p>
    <w:p w14:paraId="01EECED7" w14:textId="77777777" w:rsidR="00095CD7" w:rsidRDefault="00095CD7" w:rsidP="00095CD7">
      <w:pPr>
        <w:pStyle w:val="Kop1"/>
        <w:rPr>
          <w:sz w:val="32"/>
          <w:szCs w:val="32"/>
        </w:rPr>
      </w:pPr>
    </w:p>
    <w:p w14:paraId="2A7EF334" w14:textId="77777777" w:rsidR="00095CD7" w:rsidRDefault="00095CD7" w:rsidP="00095CD7">
      <w:pPr>
        <w:pStyle w:val="Kop1"/>
        <w:rPr>
          <w:sz w:val="32"/>
          <w:szCs w:val="32"/>
        </w:rPr>
      </w:pPr>
    </w:p>
    <w:p w14:paraId="668171B0" w14:textId="77777777" w:rsidR="00095CD7" w:rsidRDefault="00095CD7" w:rsidP="00095CD7">
      <w:pPr>
        <w:pStyle w:val="Kop1"/>
        <w:rPr>
          <w:sz w:val="32"/>
          <w:szCs w:val="32"/>
        </w:rPr>
      </w:pPr>
    </w:p>
    <w:p w14:paraId="6FB9E105" w14:textId="6344EE93" w:rsidR="00B16B06" w:rsidRPr="00095CD7" w:rsidRDefault="00C75414" w:rsidP="00095CD7">
      <w:pPr>
        <w:pStyle w:val="Kop1"/>
        <w:rPr>
          <w:sz w:val="32"/>
          <w:szCs w:val="32"/>
        </w:rPr>
      </w:pPr>
      <w:bookmarkStart w:id="8" w:name="_Toc204774304"/>
      <w:r w:rsidRPr="00095CD7">
        <w:rPr>
          <w:sz w:val="32"/>
          <w:szCs w:val="32"/>
        </w:rPr>
        <w:lastRenderedPageBreak/>
        <w:t>Hoofdstuk 2: Methodologie &amp; Analytische Fundering</w:t>
      </w:r>
      <w:bookmarkEnd w:id="8"/>
    </w:p>
    <w:p w14:paraId="48FA5E99"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480BEF12" w14:textId="77777777" w:rsidR="00B16B06" w:rsidRPr="00505A1C" w:rsidRDefault="00B16B06">
      <w:pPr>
        <w:pBdr>
          <w:top w:val="nil"/>
          <w:left w:val="nil"/>
          <w:bottom w:val="nil"/>
          <w:right w:val="nil"/>
          <w:between w:val="nil"/>
        </w:pBdr>
        <w:spacing w:after="240" w:line="275" w:lineRule="auto"/>
        <w:rPr>
          <w:rFonts w:ascii="Google Sans" w:eastAsia="Google Sans" w:hAnsi="Google Sans" w:cs="Google Sans"/>
          <w:b/>
          <w:color w:val="1B1C1D"/>
          <w:sz w:val="26"/>
          <w:szCs w:val="26"/>
        </w:rPr>
      </w:pPr>
    </w:p>
    <w:p w14:paraId="0CDF5711" w14:textId="77777777" w:rsidR="00B16B06" w:rsidRPr="00505A1C" w:rsidRDefault="00C75414" w:rsidP="00505A1C">
      <w:pPr>
        <w:pStyle w:val="Kop2"/>
        <w:rPr>
          <w:szCs w:val="28"/>
        </w:rPr>
      </w:pPr>
      <w:bookmarkStart w:id="9" w:name="_Toc204774305"/>
      <w:r w:rsidRPr="00505A1C">
        <w:rPr>
          <w:szCs w:val="28"/>
        </w:rPr>
        <w:t>Data-gedreven Investeringsstrategie</w:t>
      </w:r>
      <w:bookmarkEnd w:id="9"/>
    </w:p>
    <w:p w14:paraId="6F1BCC43"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878232C"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kern van de investeringspropositie "De Gouden Kansen van Nu" is een robuuste, data-gedreven methodologie die is ontworpen om verborgen waarde te ontsluiten en risico's te minimaliseren. De strategie berust op een gedetailleerde en systematische benadering van dataverzameling, -validatie en -analyse, waardoor een alomvattend en accuraat beeld van de investeringsomgeving ontstaat.</w:t>
      </w:r>
    </w:p>
    <w:p w14:paraId="53EA1A23"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56F991AC" w14:textId="77777777" w:rsidR="00B16B06" w:rsidRDefault="00C75414">
      <w:pPr>
        <w:pStyle w:val="Kop4"/>
        <w:spacing w:before="0" w:after="120" w:line="275" w:lineRule="auto"/>
        <w:rPr>
          <w:rFonts w:ascii="Google Sans" w:eastAsia="Google Sans" w:hAnsi="Google Sans" w:cs="Google Sans"/>
          <w:color w:val="1B1C1D"/>
        </w:rPr>
      </w:pPr>
      <w:r>
        <w:rPr>
          <w:rFonts w:ascii="Google Sans" w:eastAsia="Google Sans" w:hAnsi="Google Sans" w:cs="Google Sans"/>
          <w:color w:val="1B1C1D"/>
        </w:rPr>
        <w:t>Bronnen</w:t>
      </w:r>
    </w:p>
    <w:p w14:paraId="3F564EF9"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D2077FA"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dataverzameling is gebaseerd op een gediversifieerd portfolio van betrouwbare bronnen om een multidimensionaal perspectief te garanderen. Deze omvatten:</w:t>
      </w:r>
    </w:p>
    <w:p w14:paraId="11A7A3A4" w14:textId="77777777" w:rsidR="00B16B06" w:rsidRDefault="00C75414" w:rsidP="00BE01A1">
      <w:pPr>
        <w:numPr>
          <w:ilvl w:val="0"/>
          <w:numId w:val="8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Officiële Toerismebureaus en Nationale Statistiekbureaus:</w:t>
      </w:r>
      <w:r>
        <w:rPr>
          <w:rFonts w:ascii="Google Sans Text" w:eastAsia="Google Sans Text" w:hAnsi="Google Sans Text" w:cs="Google Sans Text"/>
          <w:color w:val="1B1C1D"/>
          <w:sz w:val="24"/>
          <w:szCs w:val="24"/>
        </w:rPr>
        <w:t xml:space="preserve"> Voor macro-economische indicatoren, toeristische aankomstcijfers, verblijfsduur en demografische gegevens. Voorbeelden zijn het Filipijnse Ministerie van Toerisme, het Albanese Instituut voor Statistiek (INSTAT) en de Colombiaanse Nationale Administratieve Afdeling voor Statistiek (DANE).</w:t>
      </w:r>
    </w:p>
    <w:p w14:paraId="673D7AC1" w14:textId="77777777" w:rsidR="00B16B06" w:rsidRDefault="00C75414" w:rsidP="00BE01A1">
      <w:pPr>
        <w:numPr>
          <w:ilvl w:val="0"/>
          <w:numId w:val="8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Vastgoeddatabases en Lokale Makelaarsnetwerken:</w:t>
      </w:r>
      <w:r>
        <w:rPr>
          <w:rFonts w:ascii="Google Sans Text" w:eastAsia="Google Sans Text" w:hAnsi="Google Sans Text" w:cs="Google Sans Text"/>
          <w:color w:val="1B1C1D"/>
          <w:sz w:val="24"/>
          <w:szCs w:val="24"/>
        </w:rPr>
        <w:t xml:space="preserve"> Voor actuele vastgoedprijzen, transactievolumes, aanbod en vraag, en historische prijsontwikkelingen. Dit omvat zowel openbare registers als exclusieve toegang tot lokale makelaarsnetwerken die diepgaande marktkennis bezitten.</w:t>
      </w:r>
    </w:p>
    <w:p w14:paraId="3C9B3673" w14:textId="77777777" w:rsidR="00B16B06" w:rsidRDefault="00C75414" w:rsidP="00BE01A1">
      <w:pPr>
        <w:numPr>
          <w:ilvl w:val="0"/>
          <w:numId w:val="8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Academische Studies en Onderzoeksrapporten:</w:t>
      </w:r>
      <w:r>
        <w:rPr>
          <w:rFonts w:ascii="Google Sans Text" w:eastAsia="Google Sans Text" w:hAnsi="Google Sans Text" w:cs="Google Sans Text"/>
          <w:color w:val="1B1C1D"/>
          <w:sz w:val="24"/>
          <w:szCs w:val="24"/>
        </w:rPr>
        <w:t xml:space="preserve"> Voor diepgaande kwalitatieve inzichten in toerismetrends, </w:t>
      </w:r>
      <w:proofErr w:type="spellStart"/>
      <w:r>
        <w:rPr>
          <w:rFonts w:ascii="Google Sans Text" w:eastAsia="Google Sans Text" w:hAnsi="Google Sans Text" w:cs="Google Sans Text"/>
          <w:color w:val="1B1C1D"/>
          <w:sz w:val="24"/>
          <w:szCs w:val="24"/>
        </w:rPr>
        <w:t>sociaal-economische</w:t>
      </w:r>
      <w:proofErr w:type="spellEnd"/>
      <w:r>
        <w:rPr>
          <w:rFonts w:ascii="Google Sans Text" w:eastAsia="Google Sans Text" w:hAnsi="Google Sans Text" w:cs="Google Sans Text"/>
          <w:color w:val="1B1C1D"/>
          <w:sz w:val="24"/>
          <w:szCs w:val="24"/>
        </w:rPr>
        <w:t xml:space="preserve"> dynamiek en duurzaamheidsaspecten.</w:t>
      </w:r>
    </w:p>
    <w:p w14:paraId="2984A8AE" w14:textId="77777777" w:rsidR="00B16B06" w:rsidRDefault="00C75414" w:rsidP="00BE01A1">
      <w:pPr>
        <w:numPr>
          <w:ilvl w:val="0"/>
          <w:numId w:val="8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Lokale Experts:</w:t>
      </w:r>
      <w:r>
        <w:rPr>
          <w:rFonts w:ascii="Google Sans Text" w:eastAsia="Google Sans Text" w:hAnsi="Google Sans Text" w:cs="Google Sans Text"/>
          <w:color w:val="1B1C1D"/>
          <w:sz w:val="24"/>
          <w:szCs w:val="24"/>
        </w:rPr>
        <w:t xml:space="preserve"> Directe interviews en samenwerkingen met lokale ondernemers, overheidsfunctionarissen en bewoners om een genuanceerd begrip te krijgen van de lokale context, regelgeving en ongeschreven marktpraktijken.</w:t>
      </w:r>
    </w:p>
    <w:p w14:paraId="6147D8F3" w14:textId="77777777" w:rsidR="00B16B06" w:rsidRDefault="00C75414" w:rsidP="00BE01A1">
      <w:pPr>
        <w:numPr>
          <w:ilvl w:val="0"/>
          <w:numId w:val="83"/>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Airbnb</w:t>
      </w:r>
      <w:proofErr w:type="spellEnd"/>
      <w:r>
        <w:rPr>
          <w:rFonts w:ascii="Google Sans Text" w:eastAsia="Google Sans Text" w:hAnsi="Google Sans Text" w:cs="Google Sans Text"/>
          <w:b/>
          <w:color w:val="1B1C1D"/>
          <w:sz w:val="24"/>
          <w:szCs w:val="24"/>
        </w:rPr>
        <w:t xml:space="preserve">/Short-Term </w:t>
      </w:r>
      <w:proofErr w:type="spellStart"/>
      <w:r>
        <w:rPr>
          <w:rFonts w:ascii="Google Sans Text" w:eastAsia="Google Sans Text" w:hAnsi="Google Sans Text" w:cs="Google Sans Text"/>
          <w:b/>
          <w:color w:val="1B1C1D"/>
          <w:sz w:val="24"/>
          <w:szCs w:val="24"/>
        </w:rPr>
        <w:t>Rental</w:t>
      </w:r>
      <w:proofErr w:type="spellEnd"/>
      <w:r>
        <w:rPr>
          <w:rFonts w:ascii="Google Sans Text" w:eastAsia="Google Sans Text" w:hAnsi="Google Sans Text" w:cs="Google Sans Text"/>
          <w:b/>
          <w:color w:val="1B1C1D"/>
          <w:sz w:val="24"/>
          <w:szCs w:val="24"/>
        </w:rPr>
        <w:t xml:space="preserve"> Platforms Data:</w:t>
      </w:r>
      <w:r>
        <w:rPr>
          <w:rFonts w:ascii="Google Sans Text" w:eastAsia="Google Sans Text" w:hAnsi="Google Sans Text" w:cs="Google Sans Text"/>
          <w:color w:val="1B1C1D"/>
          <w:sz w:val="24"/>
          <w:szCs w:val="24"/>
        </w:rPr>
        <w:t xml:space="preserve"> Analyse van geaggregeerde data </w:t>
      </w:r>
      <w:r>
        <w:rPr>
          <w:rFonts w:ascii="Google Sans Text" w:eastAsia="Google Sans Text" w:hAnsi="Google Sans Text" w:cs="Google Sans Text"/>
          <w:color w:val="1B1C1D"/>
          <w:sz w:val="24"/>
          <w:szCs w:val="24"/>
        </w:rPr>
        <w:lastRenderedPageBreak/>
        <w:t xml:space="preserve">van platforms zoals </w:t>
      </w:r>
      <w:proofErr w:type="spellStart"/>
      <w:r>
        <w:rPr>
          <w:rFonts w:ascii="Google Sans Text" w:eastAsia="Google Sans Text" w:hAnsi="Google Sans Text" w:cs="Google Sans Text"/>
          <w:color w:val="1B1C1D"/>
          <w:sz w:val="24"/>
          <w:szCs w:val="24"/>
        </w:rPr>
        <w:t>Airbnb</w:t>
      </w:r>
      <w:proofErr w:type="spellEnd"/>
      <w:r>
        <w:rPr>
          <w:rFonts w:ascii="Google Sans Text" w:eastAsia="Google Sans Text" w:hAnsi="Google Sans Text" w:cs="Google Sans Text"/>
          <w:color w:val="1B1C1D"/>
          <w:sz w:val="24"/>
          <w:szCs w:val="24"/>
        </w:rPr>
        <w:t xml:space="preserve"> en Booking.com om inzicht te krijgen in bezettingsgraden, gemiddelde dagtarieven (ADR), </w:t>
      </w:r>
      <w:proofErr w:type="spellStart"/>
      <w:r>
        <w:rPr>
          <w:rFonts w:ascii="Google Sans Text" w:eastAsia="Google Sans Text" w:hAnsi="Google Sans Text" w:cs="Google Sans Text"/>
          <w:color w:val="1B1C1D"/>
          <w:sz w:val="24"/>
          <w:szCs w:val="24"/>
        </w:rPr>
        <w:t>seizoensgebondenheid</w:t>
      </w:r>
      <w:proofErr w:type="spellEnd"/>
      <w:r>
        <w:rPr>
          <w:rFonts w:ascii="Google Sans Text" w:eastAsia="Google Sans Text" w:hAnsi="Google Sans Text" w:cs="Google Sans Text"/>
          <w:color w:val="1B1C1D"/>
          <w:sz w:val="24"/>
          <w:szCs w:val="24"/>
        </w:rPr>
        <w:t xml:space="preserve"> en de concurrentie in de </w:t>
      </w:r>
      <w:proofErr w:type="spellStart"/>
      <w:r>
        <w:rPr>
          <w:rFonts w:ascii="Google Sans Text" w:eastAsia="Google Sans Text" w:hAnsi="Google Sans Text" w:cs="Google Sans Text"/>
          <w:color w:val="1B1C1D"/>
          <w:sz w:val="24"/>
          <w:szCs w:val="24"/>
        </w:rPr>
        <w:t>kortetermijnverhuurmarkt</w:t>
      </w:r>
      <w:proofErr w:type="spellEnd"/>
      <w:r>
        <w:rPr>
          <w:rFonts w:ascii="Google Sans Text" w:eastAsia="Google Sans Text" w:hAnsi="Google Sans Text" w:cs="Google Sans Text"/>
          <w:color w:val="1B1C1D"/>
          <w:sz w:val="24"/>
          <w:szCs w:val="24"/>
        </w:rPr>
        <w:t>. Deze data biedt een real-time beeld van de operationele prestaties van vergelijkbare activa.</w:t>
      </w:r>
    </w:p>
    <w:p w14:paraId="1C5AD5E5" w14:textId="77777777" w:rsidR="00B16B06" w:rsidRDefault="00C75414" w:rsidP="00BE01A1">
      <w:pPr>
        <w:numPr>
          <w:ilvl w:val="0"/>
          <w:numId w:val="83"/>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Infrastructuurontwikkelingsplannen:</w:t>
      </w:r>
      <w:r>
        <w:rPr>
          <w:rFonts w:ascii="Google Sans Text" w:eastAsia="Google Sans Text" w:hAnsi="Google Sans Text" w:cs="Google Sans Text"/>
          <w:color w:val="1B1C1D"/>
          <w:sz w:val="24"/>
          <w:szCs w:val="24"/>
        </w:rPr>
        <w:t xml:space="preserve"> Officiële documenten en persberichten van overheden en internationale ontwikkelingsorganisaties betreffende geplande infrastructuurprojecten (wegen, luchthavens, digitale connectiviteit) die de toegankelijkheid en het toeristisch potentieel van een regio kunnen beïnvloeden.</w:t>
      </w:r>
    </w:p>
    <w:p w14:paraId="63CC7015"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34F4B0D1" w14:textId="77777777" w:rsidR="00B16B06" w:rsidRPr="00505A1C" w:rsidRDefault="00C75414" w:rsidP="00505A1C">
      <w:pPr>
        <w:pStyle w:val="Kop2"/>
        <w:rPr>
          <w:szCs w:val="28"/>
        </w:rPr>
      </w:pPr>
      <w:bookmarkStart w:id="10" w:name="_Toc204774306"/>
      <w:r w:rsidRPr="00505A1C">
        <w:rPr>
          <w:szCs w:val="28"/>
        </w:rPr>
        <w:t>Dataverwerking</w:t>
      </w:r>
      <w:bookmarkEnd w:id="10"/>
    </w:p>
    <w:p w14:paraId="2A301DF0"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2F95C21"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ruwe data, afkomstig uit diverse bronnen, ondergaat een rigoureus proces van validatie, harmonisatie en transformatie om bruikbare inzichten te genereren. Dit proces omvat:</w:t>
      </w:r>
    </w:p>
    <w:p w14:paraId="03500C99" w14:textId="77777777" w:rsidR="00B16B06" w:rsidRDefault="00C75414" w:rsidP="00BE01A1">
      <w:pPr>
        <w:numPr>
          <w:ilvl w:val="0"/>
          <w:numId w:val="8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Validatie:</w:t>
      </w:r>
      <w:r>
        <w:rPr>
          <w:rFonts w:ascii="Google Sans Text" w:eastAsia="Google Sans Text" w:hAnsi="Google Sans Text" w:cs="Google Sans Text"/>
          <w:color w:val="1B1C1D"/>
          <w:sz w:val="24"/>
          <w:szCs w:val="24"/>
        </w:rPr>
        <w:t xml:space="preserve"> Kruiscontrole van data uit meerdere onafhankelijke bronnen om de betrouwbaarheid en nauwkeurigheid te waarborgen. Uitschieters en inconsistenties worden geïdentificeerd en onderzocht.</w:t>
      </w:r>
    </w:p>
    <w:p w14:paraId="30FFFC4F" w14:textId="77777777" w:rsidR="00B16B06" w:rsidRDefault="00C75414" w:rsidP="00BE01A1">
      <w:pPr>
        <w:numPr>
          <w:ilvl w:val="0"/>
          <w:numId w:val="8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Harmonisatie:</w:t>
      </w:r>
      <w:r>
        <w:rPr>
          <w:rFonts w:ascii="Google Sans Text" w:eastAsia="Google Sans Text" w:hAnsi="Google Sans Text" w:cs="Google Sans Text"/>
          <w:color w:val="1B1C1D"/>
          <w:sz w:val="24"/>
          <w:szCs w:val="24"/>
        </w:rPr>
        <w:t xml:space="preserve"> Standaardisatie van dataformaten en meeteenheden om vergelijkingen tussen verschillende regio's en datatypes mogelijk te maken. Valutaconversies worden uitgevoerd op basis van actuele wisselkoersen.</w:t>
      </w:r>
    </w:p>
    <w:p w14:paraId="677F3B6A" w14:textId="77777777" w:rsidR="00B16B06" w:rsidRDefault="00C75414" w:rsidP="00BE01A1">
      <w:pPr>
        <w:numPr>
          <w:ilvl w:val="0"/>
          <w:numId w:val="84"/>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Transformatie naar Bruikbare Inzichten:</w:t>
      </w:r>
      <w:r>
        <w:rPr>
          <w:rFonts w:ascii="Google Sans Text" w:eastAsia="Google Sans Text" w:hAnsi="Google Sans Text" w:cs="Google Sans Text"/>
          <w:color w:val="1B1C1D"/>
          <w:sz w:val="24"/>
          <w:szCs w:val="24"/>
        </w:rPr>
        <w:t xml:space="preserve"> Ruwe data wordt geaggregeerd, geanalyseerd en gevisualiseerd om trends, patronen en correlaties te identificeren. Dit omvat het berekenen van groeicijfers, gemiddelden, standaardafwijkingen en andere statistische maten.</w:t>
      </w:r>
    </w:p>
    <w:p w14:paraId="171744C0"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4A186102" w14:textId="77777777" w:rsidR="00C06B4C" w:rsidRDefault="00C06B4C">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6C013DDB" w14:textId="77777777" w:rsidR="00C06B4C" w:rsidRDefault="00C06B4C">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01E53BDF" w14:textId="77777777" w:rsidR="00C06B4C" w:rsidRDefault="00C06B4C">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0EB70A6E" w14:textId="77777777" w:rsidR="00C06B4C" w:rsidRDefault="00C06B4C">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6E7D165C" w14:textId="77777777" w:rsidR="00C06B4C" w:rsidRDefault="00C06B4C">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72B53B29" w14:textId="77777777" w:rsidR="00B16B06" w:rsidRPr="00505A1C" w:rsidRDefault="00C75414" w:rsidP="00505A1C">
      <w:pPr>
        <w:pStyle w:val="Kop2"/>
        <w:rPr>
          <w:szCs w:val="28"/>
        </w:rPr>
      </w:pPr>
      <w:bookmarkStart w:id="11" w:name="_Toc204774307"/>
      <w:r w:rsidRPr="00505A1C">
        <w:rPr>
          <w:szCs w:val="28"/>
        </w:rPr>
        <w:lastRenderedPageBreak/>
        <w:t>Kwantitatieve Modellen</w:t>
      </w:r>
      <w:bookmarkEnd w:id="11"/>
    </w:p>
    <w:p w14:paraId="2DAB83B0"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27E7D114"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analyse maakt gebruik van geavanceerde kwantitatieve modellen om financiële projecties, statistische analyses en voorspellende inzichten te genereren. De belangrijkste modellen omvatten:</w:t>
      </w:r>
    </w:p>
    <w:p w14:paraId="034CB374" w14:textId="77777777" w:rsidR="00B16B06" w:rsidRDefault="00C75414" w:rsidP="00BE01A1">
      <w:pPr>
        <w:numPr>
          <w:ilvl w:val="0"/>
          <w:numId w:val="8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Financiële Modellen:</w:t>
      </w:r>
      <w:r>
        <w:rPr>
          <w:rFonts w:ascii="Google Sans Text" w:eastAsia="Google Sans Text" w:hAnsi="Google Sans Text" w:cs="Google Sans Text"/>
          <w:color w:val="1B1C1D"/>
          <w:sz w:val="24"/>
          <w:szCs w:val="24"/>
        </w:rPr>
        <w:t xml:space="preserve"> Gedetailleerde cashflowmodellen die initiële investeringen, renovatiekosten, operationele inkomsten en uitgaven, en belastingimplicaties over een periode van 5-10 jaar projecteren. Deze modellen berekenen de Netto Contante Waarde (NCW), Interne Rentabiliteit (IRR) en Terugverdientijd (</w:t>
      </w:r>
      <w:proofErr w:type="spellStart"/>
      <w:r>
        <w:rPr>
          <w:rFonts w:ascii="Google Sans Text" w:eastAsia="Google Sans Text" w:hAnsi="Google Sans Text" w:cs="Google Sans Text"/>
          <w:color w:val="1B1C1D"/>
          <w:sz w:val="24"/>
          <w:szCs w:val="24"/>
        </w:rPr>
        <w:t>Payback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Period</w:t>
      </w:r>
      <w:proofErr w:type="spellEnd"/>
      <w:r>
        <w:rPr>
          <w:rFonts w:ascii="Google Sans Text" w:eastAsia="Google Sans Text" w:hAnsi="Google Sans Text" w:cs="Google Sans Text"/>
          <w:color w:val="1B1C1D"/>
          <w:sz w:val="24"/>
          <w:szCs w:val="24"/>
        </w:rPr>
        <w:t>) onder verschillende scenario's.</w:t>
      </w:r>
    </w:p>
    <w:p w14:paraId="308D0BAF" w14:textId="77777777" w:rsidR="00B16B06" w:rsidRDefault="00C75414" w:rsidP="00BE01A1">
      <w:pPr>
        <w:numPr>
          <w:ilvl w:val="0"/>
          <w:numId w:val="8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Statistische Modellen:</w:t>
      </w:r>
      <w:r>
        <w:rPr>
          <w:rFonts w:ascii="Google Sans Text" w:eastAsia="Google Sans Text" w:hAnsi="Google Sans Text" w:cs="Google Sans Text"/>
          <w:color w:val="1B1C1D"/>
          <w:sz w:val="24"/>
          <w:szCs w:val="24"/>
        </w:rPr>
        <w:t xml:space="preserve"> Regressieanalyses om de correlatie tussen toeristische groei en vastgoedwaardering te kwantificeren, en om de impact van verschillende variabelen op de bezettingsgraad en ADR te schatten. Tijdreeksanalyse wordt gebruikt om historische trends te extrapoleren en toekomstige ontwikkelingen te voorspellen.</w:t>
      </w:r>
    </w:p>
    <w:p w14:paraId="2E06084D" w14:textId="77777777" w:rsidR="00B16B06" w:rsidRDefault="00C75414" w:rsidP="00BE01A1">
      <w:pPr>
        <w:numPr>
          <w:ilvl w:val="0"/>
          <w:numId w:val="8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Voorspellende Modellen:</w:t>
      </w:r>
      <w:r>
        <w:rPr>
          <w:rFonts w:ascii="Google Sans Text" w:eastAsia="Google Sans Text" w:hAnsi="Google Sans Text" w:cs="Google Sans Text"/>
          <w:color w:val="1B1C1D"/>
          <w:sz w:val="24"/>
          <w:szCs w:val="24"/>
        </w:rPr>
        <w:t xml:space="preserve"> Machine </w:t>
      </w:r>
      <w:proofErr w:type="spellStart"/>
      <w:r>
        <w:rPr>
          <w:rFonts w:ascii="Google Sans Text" w:eastAsia="Google Sans Text" w:hAnsi="Google Sans Text" w:cs="Google Sans Text"/>
          <w:color w:val="1B1C1D"/>
          <w:sz w:val="24"/>
          <w:szCs w:val="24"/>
        </w:rPr>
        <w:t>learning</w:t>
      </w:r>
      <w:proofErr w:type="spellEnd"/>
      <w:r>
        <w:rPr>
          <w:rFonts w:ascii="Google Sans Text" w:eastAsia="Google Sans Text" w:hAnsi="Google Sans Text" w:cs="Google Sans Text"/>
          <w:color w:val="1B1C1D"/>
          <w:sz w:val="24"/>
          <w:szCs w:val="24"/>
        </w:rPr>
        <w:t>-algoritmen worden ingezet om toekomstige toeristische stromen, vastgoedprijsontwikkelingen en operationele prestaties te voorspellen, rekening houdend met macro-economische factoren en seizoensgebonden patronen. Deze modellen worden continu geijkt met nieuwe data om hun nauwkeurigheid te verbeteren.</w:t>
      </w:r>
    </w:p>
    <w:p w14:paraId="387946A4" w14:textId="77777777" w:rsidR="00B16B06" w:rsidRPr="00505A1C" w:rsidRDefault="00B16B06" w:rsidP="00505A1C">
      <w:pPr>
        <w:pStyle w:val="Kop2"/>
        <w:rPr>
          <w:sz w:val="22"/>
          <w:szCs w:val="22"/>
        </w:rPr>
      </w:pPr>
    </w:p>
    <w:p w14:paraId="1F97E529" w14:textId="77777777" w:rsidR="00B16B06" w:rsidRPr="00505A1C" w:rsidRDefault="00C75414" w:rsidP="00505A1C">
      <w:pPr>
        <w:pStyle w:val="Kop2"/>
        <w:rPr>
          <w:rFonts w:ascii="Google Sans" w:eastAsia="Google Sans" w:hAnsi="Google Sans" w:cs="Google Sans"/>
          <w:szCs w:val="28"/>
        </w:rPr>
      </w:pPr>
      <w:bookmarkStart w:id="12" w:name="_Toc204774308"/>
      <w:r w:rsidRPr="00505A1C">
        <w:rPr>
          <w:rFonts w:ascii="Google Sans" w:eastAsia="Google Sans" w:hAnsi="Google Sans" w:cs="Google Sans"/>
          <w:szCs w:val="28"/>
        </w:rPr>
        <w:t>Gedetailleerde Selectiecriteria &amp; Scoringmodel</w:t>
      </w:r>
      <w:bookmarkEnd w:id="12"/>
    </w:p>
    <w:p w14:paraId="213F18BC"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CA498AD"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De selectie van de "Gouden Kansen" is gebaseerd op een strikt, </w:t>
      </w:r>
      <w:proofErr w:type="spellStart"/>
      <w:r>
        <w:rPr>
          <w:rFonts w:ascii="Google Sans Text" w:eastAsia="Google Sans Text" w:hAnsi="Google Sans Text" w:cs="Google Sans Text"/>
          <w:color w:val="1B1C1D"/>
          <w:sz w:val="24"/>
          <w:szCs w:val="24"/>
        </w:rPr>
        <w:t>meerfasen</w:t>
      </w:r>
      <w:proofErr w:type="spellEnd"/>
      <w:r>
        <w:rPr>
          <w:rFonts w:ascii="Google Sans Text" w:eastAsia="Google Sans Text" w:hAnsi="Google Sans Text" w:cs="Google Sans Text"/>
          <w:color w:val="1B1C1D"/>
          <w:sz w:val="24"/>
          <w:szCs w:val="24"/>
        </w:rPr>
        <w:t xml:space="preserve"> selectie- en scoringmodel dat zeven kerncriteria omvat. Elk criterium is operationeel gedefinieerd en voorzien van kwantitatieve drempelwaarden om objectiviteit en consistentie te waarborgen.</w:t>
      </w:r>
    </w:p>
    <w:p w14:paraId="2181D70D"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1CDEA87A" w14:textId="77777777" w:rsidR="00C06B4C" w:rsidRDefault="00C06B4C">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74BEECD0" w14:textId="77777777" w:rsidR="00C06B4C" w:rsidRDefault="00C06B4C">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0D23DC07" w14:textId="77777777" w:rsidR="00B16B06" w:rsidRPr="00C06B4C" w:rsidRDefault="00C75414" w:rsidP="00C06B4C">
      <w:pPr>
        <w:pStyle w:val="Kop2"/>
      </w:pPr>
      <w:bookmarkStart w:id="13" w:name="_Toc204774309"/>
      <w:r w:rsidRPr="00C06B4C">
        <w:lastRenderedPageBreak/>
        <w:t>Operationele Definitie, Drempelwaarden en Weging</w:t>
      </w:r>
      <w:bookmarkEnd w:id="13"/>
    </w:p>
    <w:p w14:paraId="33BCA4E7" w14:textId="77777777" w:rsidR="00B16B06" w:rsidRDefault="00B16B06">
      <w:pPr>
        <w:pBdr>
          <w:top w:val="nil"/>
          <w:left w:val="nil"/>
          <w:bottom w:val="nil"/>
          <w:right w:val="nil"/>
          <w:between w:val="nil"/>
        </w:pBdr>
        <w:spacing w:after="120" w:line="275" w:lineRule="auto"/>
        <w:rPr>
          <w:rFonts w:ascii="Google Sans" w:eastAsia="Google Sans" w:hAnsi="Google Sans" w:cs="Google Sans"/>
          <w:b/>
          <w:color w:val="1B1C1D"/>
          <w:sz w:val="24"/>
          <w:szCs w:val="24"/>
        </w:rPr>
      </w:pPr>
    </w:p>
    <w:p w14:paraId="670EF9C6" w14:textId="77777777" w:rsidR="00B16B06" w:rsidRDefault="00C75414" w:rsidP="00BE01A1">
      <w:pPr>
        <w:numPr>
          <w:ilvl w:val="0"/>
          <w:numId w:val="8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Toeristische Groei (Jaarlijks):</w:t>
      </w:r>
    </w:p>
    <w:p w14:paraId="44910230" w14:textId="77777777" w:rsidR="00B16B06" w:rsidRDefault="00C75414" w:rsidP="00BE01A1">
      <w:pPr>
        <w:numPr>
          <w:ilvl w:val="1"/>
          <w:numId w:val="8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Definitie:</w:t>
      </w:r>
      <w:r>
        <w:rPr>
          <w:rFonts w:ascii="Google Sans Text" w:eastAsia="Google Sans Text" w:hAnsi="Google Sans Text" w:cs="Google Sans Text"/>
          <w:color w:val="1B1C1D"/>
          <w:sz w:val="24"/>
          <w:szCs w:val="24"/>
        </w:rPr>
        <w:t xml:space="preserve"> Het gemiddelde jaarlijkse groeipercentage van internationale en/of nationale toeristische aankomsten in de regio over de afgelopen vijf jaar.</w:t>
      </w:r>
    </w:p>
    <w:p w14:paraId="0A0DBC70" w14:textId="77777777" w:rsidR="00B16B06" w:rsidRDefault="00C75414" w:rsidP="00BE01A1">
      <w:pPr>
        <w:numPr>
          <w:ilvl w:val="1"/>
          <w:numId w:val="8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Drempelwaarde:</w:t>
      </w:r>
      <w:r>
        <w:rPr>
          <w:rFonts w:ascii="Google Sans Text" w:eastAsia="Google Sans Text" w:hAnsi="Google Sans Text" w:cs="Google Sans Text"/>
          <w:color w:val="1B1C1D"/>
          <w:sz w:val="24"/>
          <w:szCs w:val="24"/>
        </w:rPr>
        <w:t xml:space="preserve"> Minimaal 10% jaarlijkse groei.</w:t>
      </w:r>
    </w:p>
    <w:p w14:paraId="4C02D5BA" w14:textId="77777777" w:rsidR="00B16B06" w:rsidRDefault="00C75414" w:rsidP="00BE01A1">
      <w:pPr>
        <w:numPr>
          <w:ilvl w:val="1"/>
          <w:numId w:val="8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Weging:</w:t>
      </w:r>
      <w:r>
        <w:rPr>
          <w:rFonts w:ascii="Google Sans Text" w:eastAsia="Google Sans Text" w:hAnsi="Google Sans Text" w:cs="Google Sans Text"/>
          <w:color w:val="1B1C1D"/>
          <w:sz w:val="24"/>
          <w:szCs w:val="24"/>
        </w:rPr>
        <w:t xml:space="preserve"> Hoog (30%). Dit criterium is essentieel omdat het de primaire drijfveer is voor de waardevermeerdering van vastgoed in deze context.</w:t>
      </w:r>
    </w:p>
    <w:p w14:paraId="23CE0D86" w14:textId="77777777" w:rsidR="00B16B06" w:rsidRDefault="00C75414" w:rsidP="00BE01A1">
      <w:pPr>
        <w:numPr>
          <w:ilvl w:val="0"/>
          <w:numId w:val="8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Vastgoedprijs (per m²):</w:t>
      </w:r>
    </w:p>
    <w:p w14:paraId="32E99610" w14:textId="77777777" w:rsidR="00B16B06" w:rsidRDefault="00C75414" w:rsidP="00BE01A1">
      <w:pPr>
        <w:numPr>
          <w:ilvl w:val="1"/>
          <w:numId w:val="8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Definitie:</w:t>
      </w:r>
      <w:r>
        <w:rPr>
          <w:rFonts w:ascii="Google Sans Text" w:eastAsia="Google Sans Text" w:hAnsi="Google Sans Text" w:cs="Google Sans Text"/>
          <w:color w:val="1B1C1D"/>
          <w:sz w:val="24"/>
          <w:szCs w:val="24"/>
        </w:rPr>
        <w:t xml:space="preserve"> De gemiddelde aankoopprijs per vierkante meter voor vastgoed dat geschikt is voor renovatie en toeristische verhuur in de geselecteerde rurale of secundaire gebieden.</w:t>
      </w:r>
    </w:p>
    <w:p w14:paraId="462EA91F" w14:textId="77777777" w:rsidR="00B16B06" w:rsidRDefault="00C75414" w:rsidP="00BE01A1">
      <w:pPr>
        <w:numPr>
          <w:ilvl w:val="1"/>
          <w:numId w:val="8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Drempelwaarde:</w:t>
      </w:r>
      <w:r>
        <w:rPr>
          <w:rFonts w:ascii="Google Sans Text" w:eastAsia="Google Sans Text" w:hAnsi="Google Sans Text" w:cs="Google Sans Text"/>
          <w:color w:val="1B1C1D"/>
          <w:sz w:val="24"/>
          <w:szCs w:val="24"/>
        </w:rPr>
        <w:t xml:space="preserve"> Maximaal €1.000/m². De focus ligt op vastgoed onder de €60.000 totale initiële aankoopkosten.</w:t>
      </w:r>
    </w:p>
    <w:p w14:paraId="071AE4C7" w14:textId="77777777" w:rsidR="00B16B06" w:rsidRDefault="00C75414" w:rsidP="00BE01A1">
      <w:pPr>
        <w:numPr>
          <w:ilvl w:val="1"/>
          <w:numId w:val="8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Weging:</w:t>
      </w:r>
      <w:r>
        <w:rPr>
          <w:rFonts w:ascii="Google Sans Text" w:eastAsia="Google Sans Text" w:hAnsi="Google Sans Text" w:cs="Google Sans Text"/>
          <w:color w:val="1B1C1D"/>
          <w:sz w:val="24"/>
          <w:szCs w:val="24"/>
        </w:rPr>
        <w:t xml:space="preserve"> Hoog (25%). Dit garandeert de "ondergewaardeerd" component van de investering.</w:t>
      </w:r>
    </w:p>
    <w:p w14:paraId="2DC769F4" w14:textId="77777777" w:rsidR="00B16B06" w:rsidRDefault="00C75414" w:rsidP="00BE01A1">
      <w:pPr>
        <w:numPr>
          <w:ilvl w:val="0"/>
          <w:numId w:val="8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Renovatiepotentieel &amp; Kostenbeheersing:</w:t>
      </w:r>
    </w:p>
    <w:p w14:paraId="5638904E" w14:textId="77777777" w:rsidR="00B16B06" w:rsidRDefault="00C75414" w:rsidP="00BE01A1">
      <w:pPr>
        <w:numPr>
          <w:ilvl w:val="1"/>
          <w:numId w:val="8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Definitie:</w:t>
      </w:r>
      <w:r>
        <w:rPr>
          <w:rFonts w:ascii="Google Sans Text" w:eastAsia="Google Sans Text" w:hAnsi="Google Sans Text" w:cs="Google Sans Text"/>
          <w:color w:val="1B1C1D"/>
          <w:sz w:val="24"/>
          <w:szCs w:val="24"/>
        </w:rPr>
        <w:t xml:space="preserve"> De beschikbaarheid van panden die met een realistische investering kunnen worden getransformeerd tot aantrekkelijke toeristische accommodaties, en de voorspelbaarheid van de renovatiekosten.</w:t>
      </w:r>
    </w:p>
    <w:p w14:paraId="5304D1EF" w14:textId="77777777" w:rsidR="00B16B06" w:rsidRDefault="00C75414" w:rsidP="00BE01A1">
      <w:pPr>
        <w:numPr>
          <w:ilvl w:val="1"/>
          <w:numId w:val="8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Drempelwaarde:</w:t>
      </w:r>
      <w:r>
        <w:rPr>
          <w:rFonts w:ascii="Google Sans Text" w:eastAsia="Google Sans Text" w:hAnsi="Google Sans Text" w:cs="Google Sans Text"/>
          <w:color w:val="1B1C1D"/>
          <w:sz w:val="24"/>
          <w:szCs w:val="24"/>
        </w:rPr>
        <w:t xml:space="preserve"> Renovatiekosten per m² mogen, afhankelijk van het niveau (basis, midden, hoogwaardig), een vooraf gedefinieerd percentage van de initiële aankoopprijs niet overschrijden, met een plafond van €500-€1000/m².</w:t>
      </w:r>
    </w:p>
    <w:p w14:paraId="7AF6903E" w14:textId="77777777" w:rsidR="00B16B06" w:rsidRDefault="00C75414" w:rsidP="00BE01A1">
      <w:pPr>
        <w:numPr>
          <w:ilvl w:val="1"/>
          <w:numId w:val="8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Weging:</w:t>
      </w:r>
      <w:r>
        <w:rPr>
          <w:rFonts w:ascii="Google Sans Text" w:eastAsia="Google Sans Text" w:hAnsi="Google Sans Text" w:cs="Google Sans Text"/>
          <w:color w:val="1B1C1D"/>
          <w:sz w:val="24"/>
          <w:szCs w:val="24"/>
        </w:rPr>
        <w:t xml:space="preserve"> Gemiddeld (15%). Dit zorgt ervoor dat de totale investering binnen budget blijft en de ROI haalbaar is.</w:t>
      </w:r>
    </w:p>
    <w:p w14:paraId="6008933B" w14:textId="77777777" w:rsidR="00B16B06" w:rsidRDefault="00C75414" w:rsidP="00BE01A1">
      <w:pPr>
        <w:numPr>
          <w:ilvl w:val="0"/>
          <w:numId w:val="8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Infrastructuur &amp; Bereikbaarheid:</w:t>
      </w:r>
    </w:p>
    <w:p w14:paraId="44053040" w14:textId="77777777" w:rsidR="00B16B06" w:rsidRDefault="00C75414" w:rsidP="00BE01A1">
      <w:pPr>
        <w:numPr>
          <w:ilvl w:val="1"/>
          <w:numId w:val="9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Definitie:</w:t>
      </w:r>
      <w:r>
        <w:rPr>
          <w:rFonts w:ascii="Google Sans Text" w:eastAsia="Google Sans Text" w:hAnsi="Google Sans Text" w:cs="Google Sans Text"/>
          <w:color w:val="1B1C1D"/>
          <w:sz w:val="24"/>
          <w:szCs w:val="24"/>
        </w:rPr>
        <w:t xml:space="preserve"> De kwaliteit en beschikbaarheid van essentiële infrastructuur, inclusief transportverbindingen (luchthavens, wegen) en digitale connectiviteit (internet, mobiele dekking).</w:t>
      </w:r>
    </w:p>
    <w:p w14:paraId="1618DDB8" w14:textId="77777777" w:rsidR="00B16B06" w:rsidRDefault="00C75414" w:rsidP="00BE01A1">
      <w:pPr>
        <w:numPr>
          <w:ilvl w:val="1"/>
          <w:numId w:val="9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Drempelwaarde:</w:t>
      </w:r>
      <w:r>
        <w:rPr>
          <w:rFonts w:ascii="Google Sans Text" w:eastAsia="Google Sans Text" w:hAnsi="Google Sans Text" w:cs="Google Sans Text"/>
          <w:color w:val="1B1C1D"/>
          <w:sz w:val="24"/>
          <w:szCs w:val="24"/>
        </w:rPr>
        <w:t xml:space="preserve"> Redelijke bereikbaarheid (binnen 2-3 uur van een internationale luchthaven) en stabiele internettoegang.</w:t>
      </w:r>
    </w:p>
    <w:p w14:paraId="52FEA6D9" w14:textId="77777777" w:rsidR="00B16B06" w:rsidRDefault="00C75414" w:rsidP="00BE01A1">
      <w:pPr>
        <w:numPr>
          <w:ilvl w:val="1"/>
          <w:numId w:val="9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Weging:</w:t>
      </w:r>
      <w:r>
        <w:rPr>
          <w:rFonts w:ascii="Google Sans Text" w:eastAsia="Google Sans Text" w:hAnsi="Google Sans Text" w:cs="Google Sans Text"/>
          <w:color w:val="1B1C1D"/>
          <w:sz w:val="24"/>
          <w:szCs w:val="24"/>
        </w:rPr>
        <w:t xml:space="preserve"> Gemiddeld (10%). Cruciaal voor zowel toeristische aantrekkelijkheid als operationeel beheer.</w:t>
      </w:r>
    </w:p>
    <w:p w14:paraId="0E53A5DB" w14:textId="77777777" w:rsidR="00B16B06" w:rsidRDefault="00C75414" w:rsidP="00BE01A1">
      <w:pPr>
        <w:numPr>
          <w:ilvl w:val="0"/>
          <w:numId w:val="8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 &amp; Fiscaal Klimaat voor Buitenlandse Investeerders:</w:t>
      </w:r>
    </w:p>
    <w:p w14:paraId="3A0E7FED" w14:textId="77777777" w:rsidR="00B16B06" w:rsidRDefault="00C75414" w:rsidP="00BE01A1">
      <w:pPr>
        <w:numPr>
          <w:ilvl w:val="1"/>
          <w:numId w:val="9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Definitie:</w:t>
      </w:r>
      <w:r>
        <w:rPr>
          <w:rFonts w:ascii="Google Sans Text" w:eastAsia="Google Sans Text" w:hAnsi="Google Sans Text" w:cs="Google Sans Text"/>
          <w:color w:val="1B1C1D"/>
          <w:sz w:val="24"/>
          <w:szCs w:val="24"/>
        </w:rPr>
        <w:t xml:space="preserve"> De helderheid, stabiliteit en gunstigheid van wet- en regelgeving </w:t>
      </w:r>
      <w:r>
        <w:rPr>
          <w:rFonts w:ascii="Google Sans Text" w:eastAsia="Google Sans Text" w:hAnsi="Google Sans Text" w:cs="Google Sans Text"/>
          <w:color w:val="1B1C1D"/>
          <w:sz w:val="24"/>
          <w:szCs w:val="24"/>
        </w:rPr>
        <w:lastRenderedPageBreak/>
        <w:t>met betrekking tot buitenlands vastgoedeigendom, belastingregimes en investeringsstimulansen.</w:t>
      </w:r>
    </w:p>
    <w:p w14:paraId="594E77DE" w14:textId="77777777" w:rsidR="00B16B06" w:rsidRDefault="00C75414" w:rsidP="00BE01A1">
      <w:pPr>
        <w:numPr>
          <w:ilvl w:val="1"/>
          <w:numId w:val="9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Drempelwaarde:</w:t>
      </w:r>
      <w:r>
        <w:rPr>
          <w:rFonts w:ascii="Google Sans Text" w:eastAsia="Google Sans Text" w:hAnsi="Google Sans Text" w:cs="Google Sans Text"/>
          <w:color w:val="1B1C1D"/>
          <w:sz w:val="24"/>
          <w:szCs w:val="24"/>
        </w:rPr>
        <w:t xml:space="preserve"> Mogelijkheid tot direct buitenlands eigendom of vergelijkbare veilige structuren, en een transparant belastingstelsel.</w:t>
      </w:r>
    </w:p>
    <w:p w14:paraId="32597882" w14:textId="77777777" w:rsidR="00B16B06" w:rsidRDefault="00C75414" w:rsidP="00BE01A1">
      <w:pPr>
        <w:numPr>
          <w:ilvl w:val="1"/>
          <w:numId w:val="9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Weging:</w:t>
      </w:r>
      <w:r>
        <w:rPr>
          <w:rFonts w:ascii="Google Sans Text" w:eastAsia="Google Sans Text" w:hAnsi="Google Sans Text" w:cs="Google Sans Text"/>
          <w:color w:val="1B1C1D"/>
          <w:sz w:val="24"/>
          <w:szCs w:val="24"/>
        </w:rPr>
        <w:t xml:space="preserve"> Gemiddeld (10%). Essentieel voor rechtszekerheid en financiële voorspelbaarheid.</w:t>
      </w:r>
    </w:p>
    <w:p w14:paraId="2D70EC8B" w14:textId="77777777" w:rsidR="00B16B06" w:rsidRDefault="00C75414" w:rsidP="00BE01A1">
      <w:pPr>
        <w:numPr>
          <w:ilvl w:val="0"/>
          <w:numId w:val="8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Lokale Implementatiepartners &amp; Ondersteuning:</w:t>
      </w:r>
    </w:p>
    <w:p w14:paraId="602F57C0" w14:textId="77777777" w:rsidR="00B16B06" w:rsidRDefault="00C75414" w:rsidP="00BE01A1">
      <w:pPr>
        <w:numPr>
          <w:ilvl w:val="1"/>
          <w:numId w:val="9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Definitie:</w:t>
      </w:r>
      <w:r>
        <w:rPr>
          <w:rFonts w:ascii="Google Sans Text" w:eastAsia="Google Sans Text" w:hAnsi="Google Sans Text" w:cs="Google Sans Text"/>
          <w:color w:val="1B1C1D"/>
          <w:sz w:val="24"/>
          <w:szCs w:val="24"/>
        </w:rPr>
        <w:t xml:space="preserve"> De beschikbaarheid van betrouwbare lokale partners voor makelaardij, juridisch advies, projectmanagement en property management.</w:t>
      </w:r>
    </w:p>
    <w:p w14:paraId="134656FD" w14:textId="77777777" w:rsidR="00B16B06" w:rsidRDefault="00C75414" w:rsidP="00BE01A1">
      <w:pPr>
        <w:numPr>
          <w:ilvl w:val="1"/>
          <w:numId w:val="9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Drempelwaarde:</w:t>
      </w:r>
      <w:r>
        <w:rPr>
          <w:rFonts w:ascii="Google Sans Text" w:eastAsia="Google Sans Text" w:hAnsi="Google Sans Text" w:cs="Google Sans Text"/>
          <w:color w:val="1B1C1D"/>
          <w:sz w:val="24"/>
          <w:szCs w:val="24"/>
        </w:rPr>
        <w:t xml:space="preserve"> Een bewezen netwerk van geverifieerde partners of de potentie om dit op te bouwen.</w:t>
      </w:r>
    </w:p>
    <w:p w14:paraId="0C83F384" w14:textId="77777777" w:rsidR="00B16B06" w:rsidRDefault="00C75414" w:rsidP="00BE01A1">
      <w:pPr>
        <w:numPr>
          <w:ilvl w:val="1"/>
          <w:numId w:val="9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Weging:</w:t>
      </w:r>
      <w:r>
        <w:rPr>
          <w:rFonts w:ascii="Google Sans Text" w:eastAsia="Google Sans Text" w:hAnsi="Google Sans Text" w:cs="Google Sans Text"/>
          <w:color w:val="1B1C1D"/>
          <w:sz w:val="24"/>
          <w:szCs w:val="24"/>
        </w:rPr>
        <w:t xml:space="preserve"> Laag (5%). Dit is een faciliterend criterium, maar de aanwezigheid van een sterk netwerk vermindert operationele risico's.</w:t>
      </w:r>
    </w:p>
    <w:p w14:paraId="3D21CCFF" w14:textId="77777777" w:rsidR="00B16B06" w:rsidRDefault="00C75414" w:rsidP="00BE01A1">
      <w:pPr>
        <w:numPr>
          <w:ilvl w:val="0"/>
          <w:numId w:val="8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Duurzaamheid &amp; ESG-factoren:</w:t>
      </w:r>
    </w:p>
    <w:p w14:paraId="54C21566" w14:textId="77777777" w:rsidR="00B16B06" w:rsidRDefault="00C75414" w:rsidP="00BE01A1">
      <w:pPr>
        <w:numPr>
          <w:ilvl w:val="1"/>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Definitie:</w:t>
      </w:r>
      <w:r>
        <w:rPr>
          <w:rFonts w:ascii="Google Sans Text" w:eastAsia="Google Sans Text" w:hAnsi="Google Sans Text" w:cs="Google Sans Text"/>
          <w:color w:val="1B1C1D"/>
          <w:sz w:val="24"/>
          <w:szCs w:val="24"/>
        </w:rPr>
        <w:t xml:space="preserve"> De mate waarin de investering bijdraagt aan duurzame ontwikkeling, inclusief milieu-impact, sociale acceptatie en goed bestuur.</w:t>
      </w:r>
    </w:p>
    <w:p w14:paraId="34BBBDD3" w14:textId="77777777" w:rsidR="00B16B06" w:rsidRDefault="00C75414" w:rsidP="00BE01A1">
      <w:pPr>
        <w:numPr>
          <w:ilvl w:val="1"/>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Drempelwaarde:</w:t>
      </w:r>
      <w:r>
        <w:rPr>
          <w:rFonts w:ascii="Google Sans Text" w:eastAsia="Google Sans Text" w:hAnsi="Google Sans Text" w:cs="Google Sans Text"/>
          <w:color w:val="1B1C1D"/>
          <w:sz w:val="24"/>
          <w:szCs w:val="24"/>
        </w:rPr>
        <w:t xml:space="preserve"> Geen aantoonbare negatieve impact op lokale gemeenschappen of milieu, en afstemming met nationale duurzaamheidsdoelstellingen.</w:t>
      </w:r>
    </w:p>
    <w:p w14:paraId="216E2457" w14:textId="77777777" w:rsidR="00B16B06" w:rsidRDefault="00C75414" w:rsidP="00BE01A1">
      <w:pPr>
        <w:numPr>
          <w:ilvl w:val="1"/>
          <w:numId w:val="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Weging:</w:t>
      </w:r>
      <w:r>
        <w:rPr>
          <w:rFonts w:ascii="Google Sans Text" w:eastAsia="Google Sans Text" w:hAnsi="Google Sans Text" w:cs="Google Sans Text"/>
          <w:color w:val="1B1C1D"/>
          <w:sz w:val="24"/>
          <w:szCs w:val="24"/>
        </w:rPr>
        <w:t xml:space="preserve"> Laag (5%). Hoewel lager gewogen, is dit cruciaal voor </w:t>
      </w:r>
      <w:proofErr w:type="spellStart"/>
      <w:r>
        <w:rPr>
          <w:rFonts w:ascii="Google Sans Text" w:eastAsia="Google Sans Text" w:hAnsi="Google Sans Text" w:cs="Google Sans Text"/>
          <w:color w:val="1B1C1D"/>
          <w:sz w:val="24"/>
          <w:szCs w:val="24"/>
        </w:rPr>
        <w:t>langetermijnacceptatie</w:t>
      </w:r>
      <w:proofErr w:type="spellEnd"/>
      <w:r>
        <w:rPr>
          <w:rFonts w:ascii="Google Sans Text" w:eastAsia="Google Sans Text" w:hAnsi="Google Sans Text" w:cs="Google Sans Text"/>
          <w:color w:val="1B1C1D"/>
          <w:sz w:val="24"/>
          <w:szCs w:val="24"/>
        </w:rPr>
        <w:t xml:space="preserve"> en risicobeheer.</w:t>
      </w:r>
    </w:p>
    <w:p w14:paraId="1974EB89"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357C96A6" w14:textId="77777777" w:rsidR="00B16B06" w:rsidRDefault="00C75414" w:rsidP="00C06B4C">
      <w:pPr>
        <w:pStyle w:val="Kop2"/>
      </w:pPr>
      <w:bookmarkStart w:id="14" w:name="_Toc204774310"/>
      <w:r>
        <w:t>Uitsluitingscriteria</w:t>
      </w:r>
      <w:bookmarkEnd w:id="14"/>
    </w:p>
    <w:p w14:paraId="07AC3AC5"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75575095"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Naast de scoringcriteria zijn er strikte uitsluitingscriteria die een regio direct diskwalificeren, ongeacht de scores op andere punten:</w:t>
      </w:r>
    </w:p>
    <w:p w14:paraId="31BB6D19" w14:textId="77777777" w:rsidR="00B16B06" w:rsidRDefault="00C75414" w:rsidP="00BE01A1">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Extreme Politieke Instabiliteit:</w:t>
      </w:r>
      <w:r>
        <w:rPr>
          <w:rFonts w:ascii="Google Sans Text" w:eastAsia="Google Sans Text" w:hAnsi="Google Sans Text" w:cs="Google Sans Text"/>
          <w:color w:val="1B1C1D"/>
          <w:sz w:val="24"/>
          <w:szCs w:val="24"/>
        </w:rPr>
        <w:t xml:space="preserve"> Regio's met aanhoudende conflicten, burgeroorlogen of frequente staatsgrepen.</w:t>
      </w:r>
    </w:p>
    <w:p w14:paraId="7E55336B" w14:textId="77777777" w:rsidR="00B16B06" w:rsidRDefault="00C75414" w:rsidP="00BE01A1">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Onmogelijkheid van Buitenlands Eigendom:</w:t>
      </w:r>
      <w:r>
        <w:rPr>
          <w:rFonts w:ascii="Google Sans Text" w:eastAsia="Google Sans Text" w:hAnsi="Google Sans Text" w:cs="Google Sans Text"/>
          <w:color w:val="1B1C1D"/>
          <w:sz w:val="24"/>
          <w:szCs w:val="24"/>
        </w:rPr>
        <w:t xml:space="preserve"> Landen waar buitenlanders geen eigendomsrechten op vastgoed kunnen verwerven, zelfs niet via complexe structuren.</w:t>
      </w:r>
    </w:p>
    <w:p w14:paraId="25A279D2" w14:textId="77777777" w:rsidR="00B16B06" w:rsidRDefault="00C75414" w:rsidP="00BE01A1">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Extreme Natuurramprisico's:</w:t>
      </w:r>
      <w:r>
        <w:rPr>
          <w:rFonts w:ascii="Google Sans Text" w:eastAsia="Google Sans Text" w:hAnsi="Google Sans Text" w:cs="Google Sans Text"/>
          <w:color w:val="1B1C1D"/>
          <w:sz w:val="24"/>
          <w:szCs w:val="24"/>
        </w:rPr>
        <w:t xml:space="preserve"> Gebieden met een zeer hoge en onbeheersbare frequentie van verwoestende natuurrampen die de investering significant bedreigen.</w:t>
      </w:r>
    </w:p>
    <w:p w14:paraId="65284122" w14:textId="77777777" w:rsidR="00B16B06" w:rsidRDefault="00C75414" w:rsidP="00BE01A1">
      <w:pPr>
        <w:numPr>
          <w:ilvl w:val="0"/>
          <w:numId w:val="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lastRenderedPageBreak/>
        <w:t>Internationale Sancties of Reisbeperkingen:</w:t>
      </w:r>
      <w:r>
        <w:rPr>
          <w:rFonts w:ascii="Google Sans Text" w:eastAsia="Google Sans Text" w:hAnsi="Google Sans Text" w:cs="Google Sans Text"/>
          <w:color w:val="1B1C1D"/>
          <w:sz w:val="24"/>
          <w:szCs w:val="24"/>
        </w:rPr>
        <w:t xml:space="preserve"> Landen die onder zware internationale sancties vallen of waarvoor negatieve reisadviezen gelden die toerisme onmogelijk maken.</w:t>
      </w:r>
    </w:p>
    <w:p w14:paraId="54579901"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3F95AB88" w14:textId="77777777" w:rsidR="00B16B06" w:rsidRDefault="00C75414" w:rsidP="00C06B4C">
      <w:pPr>
        <w:pStyle w:val="Kop2"/>
      </w:pPr>
      <w:bookmarkStart w:id="15" w:name="_Toc204774311"/>
      <w:r>
        <w:t>Definitie van "Ondergewaardeerd Vastgoed"</w:t>
      </w:r>
      <w:bookmarkEnd w:id="15"/>
    </w:p>
    <w:p w14:paraId="6BE25705"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5315A1E"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term "ondergewaardeerd vastgoed" in de context van "De Gouden Kansen van Nu" gaat verder dan een simpele vergelijking van de prijs per vierkante meter met die van ontwikkelde markten. Het verwijst naar vastgoed waarvan de huidige marktprijs de inherente potentie en toekomstige waarde, gedreven door de convergentie van toeristische groei en lokale ontwikkeling, nog niet volledig weerspiegelt.</w:t>
      </w:r>
    </w:p>
    <w:p w14:paraId="315B221E"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definitie omvat de volgende dimensies:</w:t>
      </w:r>
    </w:p>
    <w:p w14:paraId="10389DFC" w14:textId="77777777" w:rsidR="00B16B06" w:rsidRDefault="00C75414" w:rsidP="00BE01A1">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Prijs per m² versus Lokale Inkomens:</w:t>
      </w:r>
      <w:r>
        <w:rPr>
          <w:rFonts w:ascii="Google Sans Text" w:eastAsia="Google Sans Text" w:hAnsi="Google Sans Text" w:cs="Google Sans Text"/>
          <w:color w:val="1B1C1D"/>
          <w:sz w:val="24"/>
          <w:szCs w:val="24"/>
        </w:rPr>
        <w:t xml:space="preserve"> Vastgoed wordt als ondergewaardeerd beschouwd wanneer de prijs per m² significant lager is in verhouding tot het gemiddelde lokale inkomen, wat duidt op een lagere koopkracht van de lokale bevolking en dus een lagere lokale vraag die de prijzen opdrijft. Dit contrasteert scherp met de koopkracht van internationale investeerders en toeristen.</w:t>
      </w:r>
    </w:p>
    <w:p w14:paraId="67119227" w14:textId="77777777" w:rsidR="00B16B06" w:rsidRDefault="00C75414" w:rsidP="00BE01A1">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Bouwkosten versus Verkoopprijzen:</w:t>
      </w:r>
      <w:r>
        <w:rPr>
          <w:rFonts w:ascii="Google Sans Text" w:eastAsia="Google Sans Text" w:hAnsi="Google Sans Text" w:cs="Google Sans Text"/>
          <w:color w:val="1B1C1D"/>
          <w:sz w:val="24"/>
          <w:szCs w:val="24"/>
        </w:rPr>
        <w:t xml:space="preserve"> In ondergewaardeerde markten zijn de bouwkosten voor nieuwe constructies vaak hoger dan de verkoopprijzen van bestaand, verouderd vastgoed. Dit creëert een arbitragekans: het is voordeliger om bestaand vastgoed te verwerven en te renoveren dan om nieuw te bouwen, wat de inherente waarde van het bestaande vastgoed benadrukt.</w:t>
      </w:r>
    </w:p>
    <w:p w14:paraId="2820D88E" w14:textId="77777777" w:rsidR="00B16B06" w:rsidRDefault="00C75414" w:rsidP="00BE01A1">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Historisch Vastgoedprijsverloop &amp; Groeivertraging:</w:t>
      </w:r>
      <w:r>
        <w:rPr>
          <w:rFonts w:ascii="Google Sans Text" w:eastAsia="Google Sans Text" w:hAnsi="Google Sans Text" w:cs="Google Sans Text"/>
          <w:color w:val="1B1C1D"/>
          <w:sz w:val="24"/>
          <w:szCs w:val="24"/>
        </w:rPr>
        <w:t xml:space="preserve"> Ondergewaardeerd vastgoed bevindt zich in regio's waar de vastgoedprijzen in het verleden achterbleven bij de economische groei of toeristische ontwikkeling. Er is sprake van een vertragingseffect: de toeristische vraag stijgt, maar de vastgoedprijzen reageren pas later op deze toegenomen vraag, wat een venster van opportuniteit creëert voordat de markt zich corrigeert.</w:t>
      </w:r>
    </w:p>
    <w:p w14:paraId="0F209921" w14:textId="77777777" w:rsidR="00B16B06" w:rsidRDefault="00C75414" w:rsidP="00BE01A1">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Potentieel voor Waardetoevoeging door Renovatie:</w:t>
      </w:r>
      <w:r>
        <w:rPr>
          <w:rFonts w:ascii="Google Sans Text" w:eastAsia="Google Sans Text" w:hAnsi="Google Sans Text" w:cs="Google Sans Text"/>
          <w:color w:val="1B1C1D"/>
          <w:sz w:val="24"/>
          <w:szCs w:val="24"/>
        </w:rPr>
        <w:t xml:space="preserve"> De onderwaardering komt vaak voort uit de verouderde staat van het vastgoed. Door strategische renovatie kan de waarde exponentieel toenemen, niet alleen door de verbeterde functionaliteit en esthetiek, maar ook door de mogelijkheid om hogere huurinkomsten te genereren in de toeristische markt.</w:t>
      </w:r>
    </w:p>
    <w:p w14:paraId="709F3CC9" w14:textId="77777777" w:rsidR="00B16B06" w:rsidRDefault="00C75414" w:rsidP="00BE01A1">
      <w:pPr>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Vergelijking met Nabijgelegen Ontwikkelde Gebieden:</w:t>
      </w:r>
      <w:r>
        <w:rPr>
          <w:rFonts w:ascii="Google Sans Text" w:eastAsia="Google Sans Text" w:hAnsi="Google Sans Text" w:cs="Google Sans Text"/>
          <w:color w:val="1B1C1D"/>
          <w:sz w:val="24"/>
          <w:szCs w:val="24"/>
        </w:rPr>
        <w:t xml:space="preserve"> Ondergewaardeerd </w:t>
      </w:r>
      <w:r>
        <w:rPr>
          <w:rFonts w:ascii="Google Sans Text" w:eastAsia="Google Sans Text" w:hAnsi="Google Sans Text" w:cs="Google Sans Text"/>
          <w:color w:val="1B1C1D"/>
          <w:sz w:val="24"/>
          <w:szCs w:val="24"/>
        </w:rPr>
        <w:lastRenderedPageBreak/>
        <w:t>vastgoed bevindt zich vaak in de nabijheid van, maar niet direct in, gevestigde toeristische centra. Hierdoor profiteert het van de overflow van toeristen en de bestaande infrastructuur, maar zonder de oververhitte prijzen die kenmerkend zijn voor de hotspots. Dit creëert een "</w:t>
      </w:r>
      <w:proofErr w:type="spellStart"/>
      <w:r>
        <w:rPr>
          <w:rFonts w:ascii="Google Sans Text" w:eastAsia="Google Sans Text" w:hAnsi="Google Sans Text" w:cs="Google Sans Text"/>
          <w:color w:val="1B1C1D"/>
          <w:sz w:val="24"/>
          <w:szCs w:val="24"/>
        </w:rPr>
        <w:t>ripple</w:t>
      </w:r>
      <w:proofErr w:type="spellEnd"/>
      <w:r>
        <w:rPr>
          <w:rFonts w:ascii="Google Sans Text" w:eastAsia="Google Sans Text" w:hAnsi="Google Sans Text" w:cs="Google Sans Text"/>
          <w:color w:val="1B1C1D"/>
          <w:sz w:val="24"/>
          <w:szCs w:val="24"/>
        </w:rPr>
        <w:t xml:space="preserve"> effect" waarbij de waardevermeerdering vanuit de centra zich langzaam verspreidt naar de omliggende, voorheen over het hoofd geziene gebieden.</w:t>
      </w:r>
    </w:p>
    <w:p w14:paraId="27EBD4E5" w14:textId="77777777" w:rsidR="00B16B06" w:rsidRDefault="00C75414">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Deze gedifferentieerde definitie stelt investeerders in staat om niet alleen te focussen op lage aankoopprijzen, maar vooral op het potentieel voor aanzienlijke waardevermeerdering en duurzame rendementen.</w:t>
      </w:r>
    </w:p>
    <w:p w14:paraId="1D5321FF" w14:textId="77777777" w:rsidR="00B16B06" w:rsidRDefault="00B16B06" w:rsidP="008E4266">
      <w:pPr>
        <w:pStyle w:val="Titel"/>
      </w:pPr>
    </w:p>
    <w:p w14:paraId="194BEE15" w14:textId="77777777" w:rsidR="00B16B06" w:rsidRDefault="00C75414" w:rsidP="008E4266">
      <w:pPr>
        <w:pStyle w:val="Kop1"/>
      </w:pPr>
      <w:bookmarkStart w:id="16" w:name="_Toc204774312"/>
      <w:r>
        <w:t>Hoofdstuk 3: Macro-Economisch &amp; Toeristisch Landskap – De Context</w:t>
      </w:r>
      <w:bookmarkEnd w:id="16"/>
    </w:p>
    <w:p w14:paraId="10F9692F"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4B44E37A"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2CD78A06" w14:textId="77777777" w:rsidR="00B16B06" w:rsidRDefault="00C75414" w:rsidP="00C75414">
      <w:pPr>
        <w:pStyle w:val="Kop2"/>
      </w:pPr>
      <w:bookmarkStart w:id="17" w:name="_Toc204774313"/>
      <w:r>
        <w:t>Globale Toerismetrends</w:t>
      </w:r>
      <w:bookmarkEnd w:id="17"/>
    </w:p>
    <w:p w14:paraId="63D6E5B0"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46368527"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Het mondiale toeristische landschap ondergaat een diepgaande transformatie, weg van massatoerisme en richting meer bewuste en authentieke reiservaringen. Deze verschuiving vormt de fundamentele basis voor de investeringspropositie "De Gouden Kansen van Nu". De belangrijkste drijvende krachten achter deze trends zijn:</w:t>
      </w:r>
    </w:p>
    <w:p w14:paraId="349EF871" w14:textId="77777777" w:rsidR="00B16B06" w:rsidRDefault="00C75414" w:rsidP="00BE01A1">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Groei van Duurzaam Toerisme:</w:t>
      </w:r>
      <w:r>
        <w:rPr>
          <w:rFonts w:ascii="Google Sans Text" w:eastAsia="Google Sans Text" w:hAnsi="Google Sans Text" w:cs="Google Sans Text"/>
          <w:color w:val="1B1C1D"/>
          <w:sz w:val="24"/>
          <w:szCs w:val="24"/>
        </w:rPr>
        <w:t xml:space="preserve"> Er is een toenemende wereldwijde vraag naar reizen die een minimale ecologische impact hebben en bijdragen aan het welzijn van lokale gemeenschappen. Toeristen zoeken naar bestemmingen die authentieke culturele interacties bieden en waar hun aanwezigheid een positieve bijdrage levert. Dit leidt tot een voorkeur voor kleinschalige accommodaties en lokale ondernemingen, vaak te vinden in rurale of minder ontwikkelde gebieden.</w:t>
      </w:r>
    </w:p>
    <w:p w14:paraId="51ADE7A2" w14:textId="77777777" w:rsidR="00B16B06" w:rsidRDefault="00C75414" w:rsidP="00BE01A1">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Verschuiving naar Authentieke Ervaringen:</w:t>
      </w:r>
      <w:r>
        <w:rPr>
          <w:rFonts w:ascii="Google Sans Text" w:eastAsia="Google Sans Text" w:hAnsi="Google Sans Text" w:cs="Google Sans Text"/>
          <w:color w:val="1B1C1D"/>
          <w:sz w:val="24"/>
          <w:szCs w:val="24"/>
        </w:rPr>
        <w:t xml:space="preserve"> Reizigers zijn minder geïnteresseerd in gestandaardiseerde hotelketens en meer in unieke verblijven </w:t>
      </w:r>
      <w:r>
        <w:rPr>
          <w:rFonts w:ascii="Google Sans Text" w:eastAsia="Google Sans Text" w:hAnsi="Google Sans Text" w:cs="Google Sans Text"/>
          <w:color w:val="1B1C1D"/>
          <w:sz w:val="24"/>
          <w:szCs w:val="24"/>
        </w:rPr>
        <w:lastRenderedPageBreak/>
        <w:t>die een gevoel van plaats en cultuur bieden. Dit omvat het verblijven in gerenoveerde historische panden, boerderijen of lokale woningen, wat de vraag naar vastgoed in landelijke en historische kernen stimuleert.</w:t>
      </w:r>
    </w:p>
    <w:p w14:paraId="179C10DD" w14:textId="77777777" w:rsidR="00B16B06" w:rsidRDefault="00C75414" w:rsidP="00BE01A1">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 Impact van '</w:t>
      </w:r>
      <w:proofErr w:type="spellStart"/>
      <w:r>
        <w:rPr>
          <w:rFonts w:ascii="Google Sans Text" w:eastAsia="Google Sans Text" w:hAnsi="Google Sans Text" w:cs="Google Sans Text"/>
          <w:b/>
          <w:color w:val="1B1C1D"/>
          <w:sz w:val="24"/>
          <w:szCs w:val="24"/>
        </w:rPr>
        <w:t>Workation</w:t>
      </w:r>
      <w:proofErr w:type="spellEnd"/>
      <w:r>
        <w:rPr>
          <w:rFonts w:ascii="Google Sans Text" w:eastAsia="Google Sans Text" w:hAnsi="Google Sans Text" w:cs="Google Sans Text"/>
          <w:b/>
          <w:color w:val="1B1C1D"/>
          <w:sz w:val="24"/>
          <w:szCs w:val="24"/>
        </w:rPr>
        <w:t>' en Flexibel Werken:</w:t>
      </w:r>
      <w:r>
        <w:rPr>
          <w:rFonts w:ascii="Google Sans Text" w:eastAsia="Google Sans Text" w:hAnsi="Google Sans Text" w:cs="Google Sans Text"/>
          <w:color w:val="1B1C1D"/>
          <w:sz w:val="24"/>
          <w:szCs w:val="24"/>
        </w:rPr>
        <w:t xml:space="preserve"> De globalisering van werk en de toename van digitale nomaden hebben de grenzen tussen werk en vrije tijd vervaagd. Dit heeft geleid tot langere verblijven in bestemmingen die zowel een inspirerende omgeving als betrouwbare digitale infrastructuur bieden. Deze groep zoekt vaak naar betaalbare, comfortabele en goed uitgeruste woningen buiten de dure stadscentra, wat de vraag naar vastgoed in opkomende, landelijke gebieden verder aanwakkert.</w:t>
      </w:r>
    </w:p>
    <w:p w14:paraId="593FAE0C" w14:textId="77777777" w:rsidR="00B16B06" w:rsidRDefault="00C75414" w:rsidP="00BE01A1">
      <w:pPr>
        <w:numPr>
          <w:ilvl w:val="0"/>
          <w:numId w:val="4"/>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Decentralisatie van Toerisme:</w:t>
      </w:r>
      <w:r>
        <w:rPr>
          <w:rFonts w:ascii="Google Sans Text" w:eastAsia="Google Sans Text" w:hAnsi="Google Sans Text" w:cs="Google Sans Text"/>
          <w:color w:val="1B1C1D"/>
          <w:sz w:val="24"/>
          <w:szCs w:val="24"/>
        </w:rPr>
        <w:t xml:space="preserve"> De overbelasting van populaire toeristische hotspots heeft geleid tot een zoektocht naar alternatieve, minder drukke bestemmingen. Overheden en toerismeorganisaties stimuleren deze spreiding actief om de druk op iconische locaties te verlichten en nieuwe economische kansen te creëren in voorheen genegeerde regio's. Dit creëert een "overloopeffect" waarbij de vraag zich verplaatst naar nabijgelegen, nog onderontwikkelde gebieden.</w:t>
      </w:r>
    </w:p>
    <w:p w14:paraId="7B04F24D"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07D05C0D" w14:textId="77777777" w:rsidR="00B16B06" w:rsidRDefault="00C75414" w:rsidP="00C75414">
      <w:pPr>
        <w:pStyle w:val="Kop2"/>
      </w:pPr>
      <w:bookmarkStart w:id="18" w:name="_Toc204774314"/>
      <w:r>
        <w:t>Opkomst van Nichetoerisme</w:t>
      </w:r>
      <w:bookmarkEnd w:id="18"/>
    </w:p>
    <w:p w14:paraId="5F681DBC"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3849AC49"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algemene trends worden verder verfijnd door de opkomst van specifieke nichemarkten die de groei in de geselecteerde regio's aandrijven:</w:t>
      </w:r>
    </w:p>
    <w:p w14:paraId="7D633113" w14:textId="77777777" w:rsidR="00B16B06" w:rsidRDefault="00C75414" w:rsidP="00BE01A1">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Ecotoerisme:</w:t>
      </w:r>
      <w:r>
        <w:rPr>
          <w:rFonts w:ascii="Google Sans Text" w:eastAsia="Google Sans Text" w:hAnsi="Google Sans Text" w:cs="Google Sans Text"/>
          <w:color w:val="1B1C1D"/>
          <w:sz w:val="24"/>
          <w:szCs w:val="24"/>
        </w:rPr>
        <w:t xml:space="preserve"> Reis naar natuurgebieden die het milieu behoudt en het welzijn van de lokale bevolking ondersteunt. Veel van de geselecteerde regio's, zoals </w:t>
      </w: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Landelijk Albanië en de Mekongdelta, bieden ongerepte natuurlijke landschappen die ideaal zijn voor ecotoerisme.</w:t>
      </w:r>
    </w:p>
    <w:p w14:paraId="615EADD2" w14:textId="77777777" w:rsidR="00B16B06" w:rsidRDefault="00C75414" w:rsidP="00BE01A1">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Agrotoerisme:</w:t>
      </w:r>
      <w:r>
        <w:rPr>
          <w:rFonts w:ascii="Google Sans Text" w:eastAsia="Google Sans Text" w:hAnsi="Google Sans Text" w:cs="Google Sans Text"/>
          <w:color w:val="1B1C1D"/>
          <w:sz w:val="24"/>
          <w:szCs w:val="24"/>
        </w:rPr>
        <w:t xml:space="preserve"> Ervaringen op boerderijen of landbouwbedrijven, waarbij toeristen deelnemen aan agrarische activiteiten en meer te weten komen over lokale voedselproductie. Landelijk Colombia (Koffie-as) en Noordwest-Bulgarije zijn voorbeelden van regio's waar dit type toerisme sterk in opkomst is.</w:t>
      </w:r>
    </w:p>
    <w:p w14:paraId="083F3E50" w14:textId="77777777" w:rsidR="00B16B06" w:rsidRDefault="00C75414" w:rsidP="00BE01A1">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Cultureel Erfgoedtoerisme:</w:t>
      </w:r>
      <w:r>
        <w:rPr>
          <w:rFonts w:ascii="Google Sans Text" w:eastAsia="Google Sans Text" w:hAnsi="Google Sans Text" w:cs="Google Sans Text"/>
          <w:color w:val="1B1C1D"/>
          <w:sz w:val="24"/>
          <w:szCs w:val="24"/>
        </w:rPr>
        <w:t xml:space="preserve"> Focus op het bezoeken van historische locaties, musea en het ervaren van lokale tradities en kunst. </w:t>
      </w:r>
      <w:proofErr w:type="spellStart"/>
      <w:r>
        <w:rPr>
          <w:rFonts w:ascii="Google Sans Text" w:eastAsia="Google Sans Text" w:hAnsi="Google Sans Text" w:cs="Google Sans Text"/>
          <w:color w:val="1B1C1D"/>
          <w:sz w:val="24"/>
          <w:szCs w:val="24"/>
        </w:rPr>
        <w:t>Luang</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Prabang</w:t>
      </w:r>
      <w:proofErr w:type="spellEnd"/>
      <w:r>
        <w:rPr>
          <w:rFonts w:ascii="Google Sans Text" w:eastAsia="Google Sans Text" w:hAnsi="Google Sans Text" w:cs="Google Sans Text"/>
          <w:color w:val="1B1C1D"/>
          <w:sz w:val="24"/>
          <w:szCs w:val="24"/>
        </w:rPr>
        <w:t xml:space="preserve"> (Laos) en </w:t>
      </w:r>
      <w:proofErr w:type="spellStart"/>
      <w:r>
        <w:rPr>
          <w:rFonts w:ascii="Google Sans Text" w:eastAsia="Google Sans Text" w:hAnsi="Google Sans Text" w:cs="Google Sans Text"/>
          <w:color w:val="1B1C1D"/>
          <w:sz w:val="24"/>
          <w:szCs w:val="24"/>
        </w:rPr>
        <w:t>Trabzon</w:t>
      </w:r>
      <w:proofErr w:type="spellEnd"/>
      <w:r>
        <w:rPr>
          <w:rFonts w:ascii="Google Sans Text" w:eastAsia="Google Sans Text" w:hAnsi="Google Sans Text" w:cs="Google Sans Text"/>
          <w:color w:val="1B1C1D"/>
          <w:sz w:val="24"/>
          <w:szCs w:val="24"/>
        </w:rPr>
        <w:t xml:space="preserve"> (Turkije) zijn rijk aan cultureel erfgoed en trekken toeristen aan die geïnteresseerd zijn in diepgaande culturele onderdompeling.</w:t>
      </w:r>
    </w:p>
    <w:p w14:paraId="7D46418D" w14:textId="77777777" w:rsidR="00B16B06" w:rsidRDefault="00C75414" w:rsidP="00BE01A1">
      <w:pPr>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lastRenderedPageBreak/>
        <w:t xml:space="preserve">Adventure </w:t>
      </w:r>
      <w:proofErr w:type="spellStart"/>
      <w:r>
        <w:rPr>
          <w:rFonts w:ascii="Google Sans Text" w:eastAsia="Google Sans Text" w:hAnsi="Google Sans Text" w:cs="Google Sans Text"/>
          <w:b/>
          <w:color w:val="1B1C1D"/>
          <w:sz w:val="24"/>
          <w:szCs w:val="24"/>
        </w:rPr>
        <w:t>Tourism</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Activiteiten zoals wandelen, fietsen, kajakken, duiken en bergbeklimmen in natuurlijke omgevingen. De bergachtige gebieden van Albanië en Colombia, en de kustlijnen van de Filipijnen, bieden uitstekende mogelijkheden voor avontuurlijk toerisme.</w:t>
      </w:r>
    </w:p>
    <w:p w14:paraId="0B4DAACC" w14:textId="77777777" w:rsidR="00B16B06" w:rsidRDefault="00C75414">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Deze nichemarkten zorgen voor een gediversifieerde en veerkrachtige toeristische vraag, minder afhankelijk van seizoensgebonden pieken en meer gericht op het hele jaar door bezoeken.</w:t>
      </w:r>
    </w:p>
    <w:p w14:paraId="3D9E0F3A"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73BB09F8" w14:textId="77777777" w:rsidR="00B16B06" w:rsidRDefault="00C75414" w:rsidP="00C75414">
      <w:pPr>
        <w:pStyle w:val="Kop2"/>
      </w:pPr>
      <w:bookmarkStart w:id="19" w:name="_Toc204774315"/>
      <w:r>
        <w:t>Relatie Toerisme &amp; Vastgoedwaardering</w:t>
      </w:r>
      <w:bookmarkEnd w:id="19"/>
    </w:p>
    <w:p w14:paraId="697A707E"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93A864A"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dynamiek tussen groeiende toerismevraag en de daaropvolgende impact op vastgoedprijzen is een cruciaal element van de investeringspropositie. In ontwikkelde markten leidt een toename van toerisme vaak direct tot stijgende vastgoedprijzen. In opkomende markten, en met name in de geselecteerde, voorheen over het hoofd geziene rurale gebieden, is er echter sprake van een 'achterblijvende' waardering.</w:t>
      </w:r>
    </w:p>
    <w:p w14:paraId="753E89AA"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Dit fenomeen kan als volgt worden verklaard:</w:t>
      </w:r>
    </w:p>
    <w:p w14:paraId="7B343537" w14:textId="77777777" w:rsidR="00B16B06" w:rsidRDefault="00C75414" w:rsidP="00BE01A1">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Inertie van Lokale Markten:</w:t>
      </w:r>
      <w:r>
        <w:rPr>
          <w:rFonts w:ascii="Google Sans Text" w:eastAsia="Google Sans Text" w:hAnsi="Google Sans Text" w:cs="Google Sans Text"/>
          <w:color w:val="1B1C1D"/>
          <w:sz w:val="24"/>
          <w:szCs w:val="24"/>
        </w:rPr>
        <w:t xml:space="preserve"> Lokale vastgoedmarkten in deze regio's zijn vaak minder efficiënt en reageren trager op externe stimuli. Prijzen worden nog steeds sterk beïnvloed door lokale koopkracht en traditionele waarderingsmethoden, in plaats van door de opkomende internationale vraag.</w:t>
      </w:r>
    </w:p>
    <w:p w14:paraId="1CEA85EE" w14:textId="77777777" w:rsidR="00B16B06" w:rsidRDefault="00C75414" w:rsidP="00BE01A1">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Gebrek aan Bewustzijn:</w:t>
      </w:r>
      <w:r>
        <w:rPr>
          <w:rFonts w:ascii="Google Sans Text" w:eastAsia="Google Sans Text" w:hAnsi="Google Sans Text" w:cs="Google Sans Text"/>
          <w:color w:val="1B1C1D"/>
          <w:sz w:val="24"/>
          <w:szCs w:val="24"/>
        </w:rPr>
        <w:t xml:space="preserve"> Internationale investeerders en ontwikkelaars hebben deze gebieden nog niet massaal ontdekt, waardoor de concurrentie om vastgoed laag blijft. Dit biedt een kans om activa te verwerven voordat de prijzen escaleren.</w:t>
      </w:r>
    </w:p>
    <w:p w14:paraId="6C20B42E" w14:textId="77777777" w:rsidR="00B16B06" w:rsidRDefault="00C75414" w:rsidP="00BE01A1">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Infrastructuurachterstand:</w:t>
      </w:r>
      <w:r>
        <w:rPr>
          <w:rFonts w:ascii="Google Sans Text" w:eastAsia="Google Sans Text" w:hAnsi="Google Sans Text" w:cs="Google Sans Text"/>
          <w:color w:val="1B1C1D"/>
          <w:sz w:val="24"/>
          <w:szCs w:val="24"/>
        </w:rPr>
        <w:t xml:space="preserve"> Hoewel de toeristische vraag groeit, kan de infrastructuur (wegen, accommodaties, voorzieningen) achterblijven, wat de snelle waardestijging van vastgoed remt. Echter, de geplande infrastructurele ontwikkelingen in veel van deze regio's zullen deze achterstand inhalen, wat een katalysator zal zijn voor toekomstige waardevermeerdering.</w:t>
      </w:r>
    </w:p>
    <w:p w14:paraId="3DAD35CF" w14:textId="77777777" w:rsidR="00B16B06" w:rsidRDefault="00C75414" w:rsidP="00BE01A1">
      <w:pPr>
        <w:numPr>
          <w:ilvl w:val="0"/>
          <w:numId w:val="6"/>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Potentieel voor Transformatie:</w:t>
      </w:r>
      <w:r>
        <w:rPr>
          <w:rFonts w:ascii="Google Sans Text" w:eastAsia="Google Sans Text" w:hAnsi="Google Sans Text" w:cs="Google Sans Text"/>
          <w:color w:val="1B1C1D"/>
          <w:sz w:val="24"/>
          <w:szCs w:val="24"/>
        </w:rPr>
        <w:t xml:space="preserve"> Veel van het beschikbare vastgoed is verouderd en vereist renovatie. De initiële lage aankoopprijs, gecombineerd met de mogelijkheid om door renovatie aanzienlijke waarde toe te voegen, resulteert in een significant rendement op investering wanneer het vastgoed eenmaal is afgestemd op de eisen van de moderne toerist.</w:t>
      </w:r>
    </w:p>
    <w:p w14:paraId="38F60BA9" w14:textId="77777777" w:rsidR="00B16B06" w:rsidRDefault="00C75414">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lastRenderedPageBreak/>
        <w:t>Deze achterblijvende waardering creëert een uniek venster van opportuniteit voor strategische investeerders om vastgoed te verwerven tegen prijzen die de toekomstige inkomstenpotentie en waardestijging nog niet weerspiegelen.</w:t>
      </w:r>
    </w:p>
    <w:p w14:paraId="522A147B"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33609477" w14:textId="77777777" w:rsidR="00B16B06" w:rsidRDefault="00C75414" w:rsidP="00C75414">
      <w:pPr>
        <w:pStyle w:val="Kop2"/>
      </w:pPr>
      <w:bookmarkStart w:id="20" w:name="_Toc204774316"/>
      <w:r>
        <w:t>Geopolitieke en Macro-economische Factoren</w:t>
      </w:r>
      <w:bookmarkEnd w:id="20"/>
    </w:p>
    <w:p w14:paraId="1B2C74A5"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383A880"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bredere geopolitieke en macro-economische context speelt een belangrijke rol in het vormgeven van de investeringsomgeving in opkomende markten. Het is essentieel om deze factoren te begrijpen en hun potentiële impact op de investeringspropositie te beoordelen.</w:t>
      </w:r>
    </w:p>
    <w:p w14:paraId="3CE3DFB6" w14:textId="77777777" w:rsidR="00B16B06" w:rsidRDefault="00C75414" w:rsidP="00BE01A1">
      <w:pPr>
        <w:numPr>
          <w:ilvl w:val="0"/>
          <w:numId w:val="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Wereldwijde Inflatie en Rentetrends:</w:t>
      </w:r>
      <w:r>
        <w:rPr>
          <w:rFonts w:ascii="Google Sans Text" w:eastAsia="Google Sans Text" w:hAnsi="Google Sans Text" w:cs="Google Sans Text"/>
          <w:color w:val="1B1C1D"/>
          <w:sz w:val="24"/>
          <w:szCs w:val="24"/>
        </w:rPr>
        <w:t xml:space="preserve"> De huidige mondiale inflatiedruk en de reactie van centrale banken hierop (door rentetarieven te verhogen) beïnvloeden de kosten van kapitaal en de koopkracht. Echter, vastgoedinvesteringen in opkomende markten kunnen fungeren als een </w:t>
      </w:r>
      <w:proofErr w:type="spellStart"/>
      <w:r>
        <w:rPr>
          <w:rFonts w:ascii="Google Sans Text" w:eastAsia="Google Sans Text" w:hAnsi="Google Sans Text" w:cs="Google Sans Text"/>
          <w:color w:val="1B1C1D"/>
          <w:sz w:val="24"/>
          <w:szCs w:val="24"/>
        </w:rPr>
        <w:t>hedge</w:t>
      </w:r>
      <w:proofErr w:type="spellEnd"/>
      <w:r>
        <w:rPr>
          <w:rFonts w:ascii="Google Sans Text" w:eastAsia="Google Sans Text" w:hAnsi="Google Sans Text" w:cs="Google Sans Text"/>
          <w:color w:val="1B1C1D"/>
          <w:sz w:val="24"/>
          <w:szCs w:val="24"/>
        </w:rPr>
        <w:t xml:space="preserve"> tegen inflatie, aangezien huurinkomsten en vastgoedwaarden de inflatie vaak volgen. Bovendien zijn de lokale rentetarieven in veel van deze landen vaak minder direct gekoppeld aan die van westerse economieën, wat enige isolatie kan bieden.</w:t>
      </w:r>
    </w:p>
    <w:p w14:paraId="0D0A1F37" w14:textId="77777777" w:rsidR="00B16B06" w:rsidRDefault="00C75414" w:rsidP="00BE01A1">
      <w:pPr>
        <w:numPr>
          <w:ilvl w:val="0"/>
          <w:numId w:val="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Geopolitieke Stabiliteit in Specifieke Regio's:</w:t>
      </w:r>
      <w:r>
        <w:rPr>
          <w:rFonts w:ascii="Google Sans Text" w:eastAsia="Google Sans Text" w:hAnsi="Google Sans Text" w:cs="Google Sans Text"/>
          <w:color w:val="1B1C1D"/>
          <w:sz w:val="24"/>
          <w:szCs w:val="24"/>
        </w:rPr>
        <w:t xml:space="preserve"> Hoewel opkomende markten inherent hogere geopolitieke risico's kunnen dragen, is de selectie van de regio's zorgvuldig uitgevoerd om gebieden met relatieve stabiliteit te identificeren. Landen als Albanië en Colombia hebben bijvoorbeeld aanzienlijke vooruitgang geboekt op het gebied van veiligheid en politieke stabiliteit, wat essentieel is voor toeristische ontwikkeling en buitenlandse investeringen. De focus op rurale gebieden vermindert ook de blootstelling aan stedelijke onrust.</w:t>
      </w:r>
    </w:p>
    <w:p w14:paraId="585C2924" w14:textId="77777777" w:rsidR="00B16B06" w:rsidRDefault="00C75414" w:rsidP="00BE01A1">
      <w:pPr>
        <w:numPr>
          <w:ilvl w:val="0"/>
          <w:numId w:val="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Valutaschommelingen:</w:t>
      </w:r>
      <w:r>
        <w:rPr>
          <w:rFonts w:ascii="Google Sans Text" w:eastAsia="Google Sans Text" w:hAnsi="Google Sans Text" w:cs="Google Sans Text"/>
          <w:color w:val="1B1C1D"/>
          <w:sz w:val="24"/>
          <w:szCs w:val="24"/>
        </w:rPr>
        <w:t xml:space="preserve"> Investeringen in buitenlandse valuta brengen valutarisico's met zich mee. Echter, de </w:t>
      </w:r>
      <w:proofErr w:type="spellStart"/>
      <w:r>
        <w:rPr>
          <w:rFonts w:ascii="Google Sans Text" w:eastAsia="Google Sans Text" w:hAnsi="Google Sans Text" w:cs="Google Sans Text"/>
          <w:color w:val="1B1C1D"/>
          <w:sz w:val="24"/>
          <w:szCs w:val="24"/>
        </w:rPr>
        <w:t>lange-termijnvisie</w:t>
      </w:r>
      <w:proofErr w:type="spellEnd"/>
      <w:r>
        <w:rPr>
          <w:rFonts w:ascii="Google Sans Text" w:eastAsia="Google Sans Text" w:hAnsi="Google Sans Text" w:cs="Google Sans Text"/>
          <w:color w:val="1B1C1D"/>
          <w:sz w:val="24"/>
          <w:szCs w:val="24"/>
        </w:rPr>
        <w:t xml:space="preserve"> van deze investeringen, gecombineerd met de potentie voor aanzienlijke waardestijging van het vastgoed, kan dit risico compenseren. Diversificatie over meerdere regio's met verschillende valuta's kan het totale valutarisico van een portefeuille verder mitigeren.</w:t>
      </w:r>
    </w:p>
    <w:p w14:paraId="62A331B4" w14:textId="77777777" w:rsidR="00B16B06" w:rsidRDefault="00C75414" w:rsidP="00BE01A1">
      <w:pPr>
        <w:numPr>
          <w:ilvl w:val="0"/>
          <w:numId w:val="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Overheidsbeleid en Investeringsstimulansen:</w:t>
      </w:r>
      <w:r>
        <w:rPr>
          <w:rFonts w:ascii="Google Sans Text" w:eastAsia="Google Sans Text" w:hAnsi="Google Sans Text" w:cs="Google Sans Text"/>
          <w:color w:val="1B1C1D"/>
          <w:sz w:val="24"/>
          <w:szCs w:val="24"/>
        </w:rPr>
        <w:t xml:space="preserve"> Veel van de geselecteerde landen voeren actief beleid om buitenlandse investeringen aan te trekken en toerisme te stimuleren. Dit omvat belastingvoordelen, vereenvoudigde procedures voor eigendomsverwerving en visumprogramma's voor investeerders. </w:t>
      </w:r>
      <w:r>
        <w:rPr>
          <w:rFonts w:ascii="Google Sans Text" w:eastAsia="Google Sans Text" w:hAnsi="Google Sans Text" w:cs="Google Sans Text"/>
          <w:color w:val="1B1C1D"/>
          <w:sz w:val="24"/>
          <w:szCs w:val="24"/>
        </w:rPr>
        <w:lastRenderedPageBreak/>
        <w:t>Dergelijke overheidssteun vermindert de risico's en verhoogt de aantrekkelijkheid van de investering.</w:t>
      </w:r>
    </w:p>
    <w:p w14:paraId="29B6A840" w14:textId="77777777" w:rsidR="00B16B06" w:rsidRDefault="00C75414" w:rsidP="00BE01A1">
      <w:pPr>
        <w:numPr>
          <w:ilvl w:val="0"/>
          <w:numId w:val="7"/>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Demografische Trends:</w:t>
      </w:r>
      <w:r>
        <w:rPr>
          <w:rFonts w:ascii="Google Sans Text" w:eastAsia="Google Sans Text" w:hAnsi="Google Sans Text" w:cs="Google Sans Text"/>
          <w:color w:val="1B1C1D"/>
          <w:sz w:val="24"/>
          <w:szCs w:val="24"/>
        </w:rPr>
        <w:t xml:space="preserve"> De groei van de wereldbevolking en de opkomst van een wereldwijde middenklasse, met name in Azië, drijft de vraag naar reizen en toerisme verder op. Deze demografische verschuivingen zorgen voor een robuuste en duurzame basis voor de toeristische sector op de lange termijn.</w:t>
      </w:r>
    </w:p>
    <w:p w14:paraId="5F615B44" w14:textId="77777777" w:rsidR="00B16B06" w:rsidRDefault="00C75414">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Door deze factoren zorgvuldig te analyseren en te integreren in de risicobeoordeling, wordt een holistisch beeld van de investeringsomgeving gecreëerd, waardoor investeerders weloverwogen beslissingen kunnen nemen.</w:t>
      </w:r>
    </w:p>
    <w:p w14:paraId="34F72C80"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0972FA74" w14:textId="77777777" w:rsidR="00B16B06" w:rsidRDefault="00C75414" w:rsidP="00C75414">
      <w:pPr>
        <w:pStyle w:val="Kop1"/>
      </w:pPr>
      <w:bookmarkStart w:id="21" w:name="_Toc204774317"/>
      <w:r>
        <w:t>Hoofdstuk 4: Gedetailleerde Regionale Analyse – De Investeringsparels</w:t>
      </w:r>
      <w:bookmarkEnd w:id="21"/>
    </w:p>
    <w:p w14:paraId="1AFEE05A"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3EF1969E"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Dit hoofdstuk biedt een diepgaande analyse van elk van de zeven geïdentificeerde investeringsregio's. Elk subhoofdstuk fungeert als een </w:t>
      </w:r>
      <w:proofErr w:type="spellStart"/>
      <w:r>
        <w:rPr>
          <w:rFonts w:ascii="Google Sans Text" w:eastAsia="Google Sans Text" w:hAnsi="Google Sans Text" w:cs="Google Sans Text"/>
          <w:color w:val="1B1C1D"/>
          <w:sz w:val="24"/>
          <w:szCs w:val="24"/>
        </w:rPr>
        <w:t>stand-alone</w:t>
      </w:r>
      <w:proofErr w:type="spellEnd"/>
      <w:r>
        <w:rPr>
          <w:rFonts w:ascii="Google Sans Text" w:eastAsia="Google Sans Text" w:hAnsi="Google Sans Text" w:cs="Google Sans Text"/>
          <w:color w:val="1B1C1D"/>
          <w:sz w:val="24"/>
          <w:szCs w:val="24"/>
        </w:rPr>
        <w:t xml:space="preserve"> mini-rapport, dat alle relevante aspecten van de regio belicht om een volledig beeld te geven van de investeringspotentie.</w:t>
      </w:r>
    </w:p>
    <w:p w14:paraId="552BEE89"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116ACE05" w14:textId="77777777" w:rsidR="00B16B06" w:rsidRDefault="00C75414" w:rsidP="00C75414">
      <w:pPr>
        <w:pStyle w:val="Kop2"/>
      </w:pPr>
      <w:bookmarkStart w:id="22" w:name="_Toc204774318"/>
      <w:r>
        <w:t xml:space="preserve">4.1 </w:t>
      </w:r>
      <w:proofErr w:type="spellStart"/>
      <w:r>
        <w:t>Dumaguete</w:t>
      </w:r>
      <w:proofErr w:type="spellEnd"/>
      <w:r>
        <w:t>, Filipijnen</w:t>
      </w:r>
      <w:bookmarkEnd w:id="22"/>
    </w:p>
    <w:p w14:paraId="496E5DE6"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2A15105B"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52137B2" w14:textId="77777777" w:rsidR="00B16B06" w:rsidRDefault="00C75414" w:rsidP="00C75414">
      <w:pPr>
        <w:pStyle w:val="Kop3"/>
      </w:pPr>
      <w:bookmarkStart w:id="23" w:name="_Toc204774319"/>
      <w:r>
        <w:t>4.1.1 Historische Context &amp; Huidig Profiel</w:t>
      </w:r>
      <w:bookmarkEnd w:id="23"/>
    </w:p>
    <w:p w14:paraId="666269D3"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882AC66"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xml:space="preserve">, de hoofdstad van de provincie </w:t>
      </w:r>
      <w:proofErr w:type="spellStart"/>
      <w:r>
        <w:rPr>
          <w:rFonts w:ascii="Google Sans Text" w:eastAsia="Google Sans Text" w:hAnsi="Google Sans Text" w:cs="Google Sans Text"/>
          <w:color w:val="1B1C1D"/>
          <w:sz w:val="24"/>
          <w:szCs w:val="24"/>
        </w:rPr>
        <w:t>Negros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Oriental</w:t>
      </w:r>
      <w:proofErr w:type="spellEnd"/>
      <w:r>
        <w:rPr>
          <w:rFonts w:ascii="Google Sans Text" w:eastAsia="Google Sans Text" w:hAnsi="Google Sans Text" w:cs="Google Sans Text"/>
          <w:color w:val="1B1C1D"/>
          <w:sz w:val="24"/>
          <w:szCs w:val="24"/>
        </w:rPr>
        <w:t xml:space="preserve">, staat bekend als de "Stad van de Milde Mensen" en is een bruisend educatief centrum met vier universiteiten, waaronder de prestigieuze Silliman University. Historisch gezien was de regio een belangrijk landbouwgebied, maar de aanwezigheid van universiteiten heeft een jonge, dynamische bevolking aangetrokken en de lokale economie </w:t>
      </w:r>
      <w:r>
        <w:rPr>
          <w:rFonts w:ascii="Google Sans Text" w:eastAsia="Google Sans Text" w:hAnsi="Google Sans Text" w:cs="Google Sans Text"/>
          <w:color w:val="1B1C1D"/>
          <w:sz w:val="24"/>
          <w:szCs w:val="24"/>
        </w:rPr>
        <w:lastRenderedPageBreak/>
        <w:t xml:space="preserve">gediversifieerd. De demografie is jong en groeiend, met een aanzienlijk deel van de bevolking onder de 30 jaar. De economische basis is een mix van onderwijs, landbouw, visserij en een snelgroeiende dienstensector, waaronder toerisme en BPO (Business </w:t>
      </w:r>
      <w:proofErr w:type="spellStart"/>
      <w:r>
        <w:rPr>
          <w:rFonts w:ascii="Google Sans Text" w:eastAsia="Google Sans Text" w:hAnsi="Google Sans Text" w:cs="Google Sans Text"/>
          <w:color w:val="1B1C1D"/>
          <w:sz w:val="24"/>
          <w:szCs w:val="24"/>
        </w:rPr>
        <w:t>Process</w:t>
      </w:r>
      <w:proofErr w:type="spellEnd"/>
      <w:r>
        <w:rPr>
          <w:rFonts w:ascii="Google Sans Text" w:eastAsia="Google Sans Text" w:hAnsi="Google Sans Text" w:cs="Google Sans Text"/>
          <w:color w:val="1B1C1D"/>
          <w:sz w:val="24"/>
          <w:szCs w:val="24"/>
        </w:rPr>
        <w:t xml:space="preserve"> Outsourcing). De stad fungeert als een regionaal knooppunt voor handel en transport.</w:t>
      </w:r>
    </w:p>
    <w:p w14:paraId="781CC2B5" w14:textId="77777777" w:rsidR="00B16B06" w:rsidRDefault="00B16B06" w:rsidP="00C75414">
      <w:pPr>
        <w:pStyle w:val="Kop3"/>
      </w:pPr>
    </w:p>
    <w:p w14:paraId="02668B0D" w14:textId="77777777" w:rsidR="00B16B06" w:rsidRDefault="00C75414" w:rsidP="00C75414">
      <w:pPr>
        <w:pStyle w:val="Kop3"/>
        <w:rPr>
          <w:rFonts w:ascii="Google Sans" w:eastAsia="Google Sans" w:hAnsi="Google Sans" w:cs="Google Sans"/>
        </w:rPr>
      </w:pPr>
      <w:bookmarkStart w:id="24" w:name="_Toc204774320"/>
      <w:r>
        <w:rPr>
          <w:rFonts w:ascii="Google Sans" w:eastAsia="Google Sans" w:hAnsi="Google Sans" w:cs="Google Sans"/>
        </w:rPr>
        <w:t>4.1.2 Toeristische Groeimarkers &amp; Potentieel</w:t>
      </w:r>
      <w:bookmarkEnd w:id="24"/>
    </w:p>
    <w:p w14:paraId="32F1176A"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61BFEFF"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xml:space="preserve"> heeft de afgelopen vijf jaar een consistente en aanzienlijke jaarlijkse groei in toeristische aankomsten laten zien, met percentages die vaak boven het nationale gemiddelde liggen. Hoewel exacte cijfers variëren, duiden rapporten op een groei van meer dan 15% in de jaren vóór de pandemie, met een snel herstel daarna. De stad trekt een diverse stroom van toeristen aan:</w:t>
      </w:r>
    </w:p>
    <w:p w14:paraId="5B126409" w14:textId="77777777" w:rsidR="00B16B06" w:rsidRDefault="00C75414" w:rsidP="00BE01A1">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Type Toerist:</w:t>
      </w:r>
      <w:r>
        <w:rPr>
          <w:rFonts w:ascii="Google Sans Text" w:eastAsia="Google Sans Text" w:hAnsi="Google Sans Text" w:cs="Google Sans Text"/>
          <w:color w:val="1B1C1D"/>
          <w:sz w:val="24"/>
          <w:szCs w:val="24"/>
        </w:rPr>
        <w:t xml:space="preserve"> Een mix van internationale duiktoeristen (aangetrokken door </w:t>
      </w:r>
      <w:proofErr w:type="spellStart"/>
      <w:r>
        <w:rPr>
          <w:rFonts w:ascii="Google Sans Text" w:eastAsia="Google Sans Text" w:hAnsi="Google Sans Text" w:cs="Google Sans Text"/>
          <w:color w:val="1B1C1D"/>
          <w:sz w:val="24"/>
          <w:szCs w:val="24"/>
        </w:rPr>
        <w:t>Apo</w:t>
      </w:r>
      <w:proofErr w:type="spellEnd"/>
      <w:r>
        <w:rPr>
          <w:rFonts w:ascii="Google Sans Text" w:eastAsia="Google Sans Text" w:hAnsi="Google Sans Text" w:cs="Google Sans Text"/>
          <w:color w:val="1B1C1D"/>
          <w:sz w:val="24"/>
          <w:szCs w:val="24"/>
        </w:rPr>
        <w:t xml:space="preserve"> Island en </w:t>
      </w:r>
      <w:proofErr w:type="spellStart"/>
      <w:r>
        <w:rPr>
          <w:rFonts w:ascii="Google Sans Text" w:eastAsia="Google Sans Text" w:hAnsi="Google Sans Text" w:cs="Google Sans Text"/>
          <w:color w:val="1B1C1D"/>
          <w:sz w:val="24"/>
          <w:szCs w:val="24"/>
        </w:rPr>
        <w:t>Dauin</w:t>
      </w:r>
      <w:proofErr w:type="spellEnd"/>
      <w:r>
        <w:rPr>
          <w:rFonts w:ascii="Google Sans Text" w:eastAsia="Google Sans Text" w:hAnsi="Google Sans Text" w:cs="Google Sans Text"/>
          <w:color w:val="1B1C1D"/>
          <w:sz w:val="24"/>
          <w:szCs w:val="24"/>
        </w:rPr>
        <w:t>), binnenlandse reizigers die familie bezoeken of op zoek zijn naar een ontspannen stedentrip, en een groeiend aantal digitale nomaden en gepensioneerden die langere verblijven zoeken.</w:t>
      </w:r>
    </w:p>
    <w:p w14:paraId="6B94A095" w14:textId="77777777" w:rsidR="00B16B06" w:rsidRDefault="00C75414" w:rsidP="00BE01A1">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Herkomst:</w:t>
      </w:r>
      <w:r>
        <w:rPr>
          <w:rFonts w:ascii="Google Sans Text" w:eastAsia="Google Sans Text" w:hAnsi="Google Sans Text" w:cs="Google Sans Text"/>
          <w:color w:val="1B1C1D"/>
          <w:sz w:val="24"/>
          <w:szCs w:val="24"/>
        </w:rPr>
        <w:t xml:space="preserve"> Belangrijke internationale markten zijn onder meer de VS, Europa, Korea en China, aangevuld met een sterke binnenlandse markt.</w:t>
      </w:r>
    </w:p>
    <w:p w14:paraId="3FE162E0" w14:textId="77777777" w:rsidR="00B16B06" w:rsidRDefault="00C75414" w:rsidP="00BE01A1">
      <w:pPr>
        <w:numPr>
          <w:ilvl w:val="0"/>
          <w:numId w:val="8"/>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Groeivoorspellingen:</w:t>
      </w:r>
      <w:r>
        <w:rPr>
          <w:rFonts w:ascii="Google Sans Text" w:eastAsia="Google Sans Text" w:hAnsi="Google Sans Text" w:cs="Google Sans Text"/>
          <w:color w:val="1B1C1D"/>
          <w:sz w:val="24"/>
          <w:szCs w:val="24"/>
        </w:rPr>
        <w:t xml:space="preserve"> De voorspellingen blijven positief, gestimuleerd door de toenemende bekendheid van de regio als een duurzaam alternatief voor overvolle bestemmingen zoals </w:t>
      </w:r>
      <w:proofErr w:type="spellStart"/>
      <w:r>
        <w:rPr>
          <w:rFonts w:ascii="Google Sans Text" w:eastAsia="Google Sans Text" w:hAnsi="Google Sans Text" w:cs="Google Sans Text"/>
          <w:color w:val="1B1C1D"/>
          <w:sz w:val="24"/>
          <w:szCs w:val="24"/>
        </w:rPr>
        <w:t>Boracay</w:t>
      </w:r>
      <w:proofErr w:type="spellEnd"/>
      <w:r>
        <w:rPr>
          <w:rFonts w:ascii="Google Sans Text" w:eastAsia="Google Sans Text" w:hAnsi="Google Sans Text" w:cs="Google Sans Text"/>
          <w:color w:val="1B1C1D"/>
          <w:sz w:val="24"/>
          <w:szCs w:val="24"/>
        </w:rPr>
        <w:t>, en de voortdurende ontwikkeling van nichetoerisme.</w:t>
      </w:r>
    </w:p>
    <w:p w14:paraId="449AF0D5"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Unieke Verkoopargumenten (USP's):</w:t>
      </w:r>
    </w:p>
    <w:p w14:paraId="071603D5" w14:textId="77777777" w:rsidR="00B16B06" w:rsidRDefault="00C75414" w:rsidP="00BE01A1">
      <w:pPr>
        <w:numPr>
          <w:ilvl w:val="0"/>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Duikhoofdstad:</w:t>
      </w:r>
      <w:r>
        <w:rPr>
          <w:rFonts w:ascii="Google Sans Text" w:eastAsia="Google Sans Text" w:hAnsi="Google Sans Text" w:cs="Google Sans Text"/>
          <w:color w:val="1B1C1D"/>
          <w:sz w:val="24"/>
          <w:szCs w:val="24"/>
        </w:rPr>
        <w:t xml:space="preserve"> Nabijheid van wereldberoemde duiklocaties zoals </w:t>
      </w:r>
      <w:proofErr w:type="spellStart"/>
      <w:r>
        <w:rPr>
          <w:rFonts w:ascii="Google Sans Text" w:eastAsia="Google Sans Text" w:hAnsi="Google Sans Text" w:cs="Google Sans Text"/>
          <w:color w:val="1B1C1D"/>
          <w:sz w:val="24"/>
          <w:szCs w:val="24"/>
        </w:rPr>
        <w:t>Apo</w:t>
      </w:r>
      <w:proofErr w:type="spellEnd"/>
      <w:r>
        <w:rPr>
          <w:rFonts w:ascii="Google Sans Text" w:eastAsia="Google Sans Text" w:hAnsi="Google Sans Text" w:cs="Google Sans Text"/>
          <w:color w:val="1B1C1D"/>
          <w:sz w:val="24"/>
          <w:szCs w:val="24"/>
        </w:rPr>
        <w:t xml:space="preserve"> Island (bekend om schildpadden) en de macro-duikplekken van </w:t>
      </w:r>
      <w:proofErr w:type="spellStart"/>
      <w:r>
        <w:rPr>
          <w:rFonts w:ascii="Google Sans Text" w:eastAsia="Google Sans Text" w:hAnsi="Google Sans Text" w:cs="Google Sans Text"/>
          <w:color w:val="1B1C1D"/>
          <w:sz w:val="24"/>
          <w:szCs w:val="24"/>
        </w:rPr>
        <w:t>Dauin</w:t>
      </w:r>
      <w:proofErr w:type="spellEnd"/>
      <w:r>
        <w:rPr>
          <w:rFonts w:ascii="Google Sans Text" w:eastAsia="Google Sans Text" w:hAnsi="Google Sans Text" w:cs="Google Sans Text"/>
          <w:color w:val="1B1C1D"/>
          <w:sz w:val="24"/>
          <w:szCs w:val="24"/>
        </w:rPr>
        <w:t>.</w:t>
      </w:r>
    </w:p>
    <w:p w14:paraId="729DBDCB" w14:textId="77777777" w:rsidR="00B16B06" w:rsidRDefault="00C75414" w:rsidP="00BE01A1">
      <w:pPr>
        <w:numPr>
          <w:ilvl w:val="0"/>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Natuurlijke Schoonheid:</w:t>
      </w:r>
      <w:r>
        <w:rPr>
          <w:rFonts w:ascii="Google Sans Text" w:eastAsia="Google Sans Text" w:hAnsi="Google Sans Text" w:cs="Google Sans Text"/>
          <w:color w:val="1B1C1D"/>
          <w:sz w:val="24"/>
          <w:szCs w:val="24"/>
        </w:rPr>
        <w:t xml:space="preserve"> Toegang tot bergachtige landschappen (Mount </w:t>
      </w:r>
      <w:proofErr w:type="spellStart"/>
      <w:r>
        <w:rPr>
          <w:rFonts w:ascii="Google Sans Text" w:eastAsia="Google Sans Text" w:hAnsi="Google Sans Text" w:cs="Google Sans Text"/>
          <w:color w:val="1B1C1D"/>
          <w:sz w:val="24"/>
          <w:szCs w:val="24"/>
        </w:rPr>
        <w:t>Talinis</w:t>
      </w:r>
      <w:proofErr w:type="spellEnd"/>
      <w:r>
        <w:rPr>
          <w:rFonts w:ascii="Google Sans Text" w:eastAsia="Google Sans Text" w:hAnsi="Google Sans Text" w:cs="Google Sans Text"/>
          <w:color w:val="1B1C1D"/>
          <w:sz w:val="24"/>
          <w:szCs w:val="24"/>
        </w:rPr>
        <w:t>), watervallen (</w:t>
      </w:r>
      <w:proofErr w:type="spellStart"/>
      <w:r>
        <w:rPr>
          <w:rFonts w:ascii="Google Sans Text" w:eastAsia="Google Sans Text" w:hAnsi="Google Sans Text" w:cs="Google Sans Text"/>
          <w:color w:val="1B1C1D"/>
          <w:sz w:val="24"/>
          <w:szCs w:val="24"/>
        </w:rPr>
        <w:t>Pulangbato</w:t>
      </w:r>
      <w:proofErr w:type="spellEnd"/>
      <w:r>
        <w:rPr>
          <w:rFonts w:ascii="Google Sans Text" w:eastAsia="Google Sans Text" w:hAnsi="Google Sans Text" w:cs="Google Sans Text"/>
          <w:color w:val="1B1C1D"/>
          <w:sz w:val="24"/>
          <w:szCs w:val="24"/>
        </w:rPr>
        <w:t xml:space="preserve"> Falls) en meren (</w:t>
      </w:r>
      <w:proofErr w:type="spellStart"/>
      <w:r>
        <w:rPr>
          <w:rFonts w:ascii="Google Sans Text" w:eastAsia="Google Sans Text" w:hAnsi="Google Sans Text" w:cs="Google Sans Text"/>
          <w:color w:val="1B1C1D"/>
          <w:sz w:val="24"/>
          <w:szCs w:val="24"/>
        </w:rPr>
        <w:t>Balinsasayao</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Twin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Lakes</w:t>
      </w:r>
      <w:proofErr w:type="spellEnd"/>
      <w:r>
        <w:rPr>
          <w:rFonts w:ascii="Google Sans Text" w:eastAsia="Google Sans Text" w:hAnsi="Google Sans Text" w:cs="Google Sans Text"/>
          <w:color w:val="1B1C1D"/>
          <w:sz w:val="24"/>
          <w:szCs w:val="24"/>
        </w:rPr>
        <w:t>).</w:t>
      </w:r>
    </w:p>
    <w:p w14:paraId="28871686" w14:textId="77777777" w:rsidR="00B16B06" w:rsidRDefault="00C75414" w:rsidP="00BE01A1">
      <w:pPr>
        <w:numPr>
          <w:ilvl w:val="0"/>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Culturele Rijkdom:</w:t>
      </w:r>
      <w:r>
        <w:rPr>
          <w:rFonts w:ascii="Google Sans Text" w:eastAsia="Google Sans Text" w:hAnsi="Google Sans Text" w:cs="Google Sans Text"/>
          <w:color w:val="1B1C1D"/>
          <w:sz w:val="24"/>
          <w:szCs w:val="24"/>
        </w:rPr>
        <w:t xml:space="preserve"> Een levendige lokale cultuur, historische gebouwen (Silliman University), en een ontspannen, vriendelijke sfeer.</w:t>
      </w:r>
    </w:p>
    <w:p w14:paraId="6177DD3B" w14:textId="77777777" w:rsidR="00B16B06" w:rsidRDefault="00C75414" w:rsidP="00BE01A1">
      <w:pPr>
        <w:numPr>
          <w:ilvl w:val="0"/>
          <w:numId w:val="9"/>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Betaalbaarheid:</w:t>
      </w:r>
      <w:r>
        <w:rPr>
          <w:rFonts w:ascii="Google Sans Text" w:eastAsia="Google Sans Text" w:hAnsi="Google Sans Text" w:cs="Google Sans Text"/>
          <w:color w:val="1B1C1D"/>
          <w:sz w:val="24"/>
          <w:szCs w:val="24"/>
        </w:rPr>
        <w:t xml:space="preserve"> Relatief lage kosten van levensonderhoud en vastgoed in vergelijking met andere populaire Filipijnse bestemmingen.</w:t>
      </w:r>
    </w:p>
    <w:p w14:paraId="4E6F165F"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Huidige Toeristische Druk &amp; Capaciteit:</w:t>
      </w:r>
    </w:p>
    <w:p w14:paraId="16BA109B"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lastRenderedPageBreak/>
        <w:t xml:space="preserve">De toeristische druk in </w:t>
      </w:r>
      <w:proofErr w:type="spellStart"/>
      <w:r>
        <w:rPr>
          <w:rFonts w:ascii="Google Sans Text" w:eastAsia="Google Sans Text" w:hAnsi="Google Sans Text" w:cs="Google Sans Text"/>
        </w:rPr>
        <w:t>Dumaguete</w:t>
      </w:r>
      <w:proofErr w:type="spellEnd"/>
      <w:r>
        <w:rPr>
          <w:rFonts w:ascii="Google Sans Text" w:eastAsia="Google Sans Text" w:hAnsi="Google Sans Text" w:cs="Google Sans Text"/>
        </w:rPr>
        <w:t xml:space="preserve"> zelf is gematigd, en de investeringsgebieden richten zich op de omliggende, landelijke gemeenschappen zoals </w:t>
      </w:r>
      <w:proofErr w:type="spellStart"/>
      <w:r>
        <w:rPr>
          <w:rFonts w:ascii="Google Sans Text" w:eastAsia="Google Sans Text" w:hAnsi="Google Sans Text" w:cs="Google Sans Text"/>
        </w:rPr>
        <w:t>Dauin</w:t>
      </w:r>
      <w:proofErr w:type="spellEnd"/>
      <w:r>
        <w:rPr>
          <w:rFonts w:ascii="Google Sans Text" w:eastAsia="Google Sans Text" w:hAnsi="Google Sans Text" w:cs="Google Sans Text"/>
        </w:rPr>
        <w:t xml:space="preserve"> en Valencia, waar de druk aanzienlijk lager is dan in de stadskern. De huidige infrastructuur (accommodatie, transport) is voldoende voor de huidige vraag, maar er is ruimte voor groei en upgrade, met name in de niche van kwalitatieve, duurzame accommodaties. De focus ligt op het ontwikkelen van kleinschalige, authentieke verblijven die de lokale capaciteit aanvullen zonder deze te overbelasten.</w:t>
      </w:r>
    </w:p>
    <w:p w14:paraId="7B1BD8D5" w14:textId="77777777" w:rsidR="00B16B06" w:rsidRDefault="00B16B06" w:rsidP="00C75414">
      <w:pPr>
        <w:pStyle w:val="Kop3"/>
      </w:pPr>
    </w:p>
    <w:p w14:paraId="765A4B00" w14:textId="77777777" w:rsidR="00B16B06" w:rsidRDefault="00C75414" w:rsidP="00C75414">
      <w:pPr>
        <w:pStyle w:val="Kop3"/>
        <w:rPr>
          <w:rFonts w:ascii="Google Sans" w:eastAsia="Google Sans" w:hAnsi="Google Sans" w:cs="Google Sans"/>
          <w:color w:val="1B1C1D"/>
        </w:rPr>
      </w:pPr>
      <w:bookmarkStart w:id="25" w:name="_Toc204774321"/>
      <w:r>
        <w:rPr>
          <w:rFonts w:ascii="Google Sans" w:eastAsia="Google Sans" w:hAnsi="Google Sans" w:cs="Google Sans"/>
          <w:color w:val="1B1C1D"/>
          <w:sz w:val="24"/>
          <w:szCs w:val="24"/>
        </w:rPr>
        <w:t>4.1.3 Vastgoedmarkt Analyse &amp; Investeringslandschap</w:t>
      </w:r>
      <w:bookmarkEnd w:id="25"/>
    </w:p>
    <w:p w14:paraId="00FC474C"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947F1AB"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Prijsanalyse:</w:t>
      </w:r>
    </w:p>
    <w:p w14:paraId="080F1CC5"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 vastgoedmarkt in en rond </w:t>
      </w:r>
      <w:proofErr w:type="spellStart"/>
      <w:r>
        <w:rPr>
          <w:rFonts w:ascii="Google Sans Text" w:eastAsia="Google Sans Text" w:hAnsi="Google Sans Text" w:cs="Google Sans Text"/>
        </w:rPr>
        <w:t>Dumaguete</w:t>
      </w:r>
      <w:proofErr w:type="spellEnd"/>
      <w:r>
        <w:rPr>
          <w:rFonts w:ascii="Google Sans Text" w:eastAsia="Google Sans Text" w:hAnsi="Google Sans Text" w:cs="Google Sans Text"/>
        </w:rPr>
        <w:t xml:space="preserve"> biedt aantrekkelijke prijsranges, vooral in de landelijke gebieden die gericht zijn op toeristische ontwikkeling. Prijzen variëren sterk, maar voor typen panden die voldoen aan de onder-€60.000 criteria, zoals oude dorpshuizen, agrarische grond met potentieel voor kleinschalige ontwikkeling, of eenvoudige historische gebouwen, liggen de prijzen vaak tussen €300 - €800 per m². Ter vergelijking, in meer ontwikkelde kustgebieden of in het centrum van </w:t>
      </w:r>
      <w:proofErr w:type="spellStart"/>
      <w:r>
        <w:rPr>
          <w:rFonts w:ascii="Google Sans Text" w:eastAsia="Google Sans Text" w:hAnsi="Google Sans Text" w:cs="Google Sans Text"/>
        </w:rPr>
        <w:t>Dumaguete</w:t>
      </w:r>
      <w:proofErr w:type="spellEnd"/>
      <w:r>
        <w:rPr>
          <w:rFonts w:ascii="Google Sans Text" w:eastAsia="Google Sans Text" w:hAnsi="Google Sans Text" w:cs="Google Sans Text"/>
        </w:rPr>
        <w:t xml:space="preserve"> kunnen prijzen oplopen tot €1.000 - €1.500 per m² of meer voor nieuwbouw. Dit onderstreept de onderwaardering in de geselecteerde rurale gebieden.</w:t>
      </w:r>
    </w:p>
    <w:p w14:paraId="46CF62DE"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Renovatiepotentieel &amp; Kosten:</w:t>
      </w:r>
    </w:p>
    <w:p w14:paraId="1D10CC6C"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meeste beschikbare panden voor renovatie zijn oudere, traditionele huizen of structuren die aanzienlijke potentie bieden voor transformatie naar moderne, comfortabele toeristische accommodaties.</w:t>
      </w:r>
    </w:p>
    <w:p w14:paraId="287F02AF" w14:textId="77777777" w:rsidR="00B16B06" w:rsidRDefault="00C75414" w:rsidP="00BE01A1">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Basisrenovatie:</w:t>
      </w:r>
      <w:r>
        <w:rPr>
          <w:rFonts w:ascii="Google Sans Text" w:eastAsia="Google Sans Text" w:hAnsi="Google Sans Text" w:cs="Google Sans Text"/>
          <w:color w:val="1B1C1D"/>
          <w:sz w:val="24"/>
          <w:szCs w:val="24"/>
        </w:rPr>
        <w:t xml:space="preserve"> €300-€500 per m². Dit omvat structurele reparaties, basis sanitair en elektrische systemen, en cosmetische upgrades.</w:t>
      </w:r>
    </w:p>
    <w:p w14:paraId="2B96B6F0" w14:textId="77777777" w:rsidR="00B16B06" w:rsidRDefault="00C75414" w:rsidP="00BE01A1">
      <w:pPr>
        <w:numPr>
          <w:ilvl w:val="0"/>
          <w:numId w:val="10"/>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Middenwaardige</w:t>
      </w:r>
      <w:proofErr w:type="spellEnd"/>
      <w:r>
        <w:rPr>
          <w:rFonts w:ascii="Google Sans Text" w:eastAsia="Google Sans Text" w:hAnsi="Google Sans Text" w:cs="Google Sans Text"/>
          <w:b/>
          <w:color w:val="1B1C1D"/>
          <w:sz w:val="24"/>
          <w:szCs w:val="24"/>
        </w:rPr>
        <w:t xml:space="preserve"> renovatie:</w:t>
      </w:r>
      <w:r>
        <w:rPr>
          <w:rFonts w:ascii="Google Sans Text" w:eastAsia="Google Sans Text" w:hAnsi="Google Sans Text" w:cs="Google Sans Text"/>
          <w:color w:val="1B1C1D"/>
          <w:sz w:val="24"/>
          <w:szCs w:val="24"/>
        </w:rPr>
        <w:t xml:space="preserve"> €500-€750 per m². Hierbij wordt gedacht aan verbeterde afwerkingen, moderne badkamers en keukens, en energie-efficiënte oplossingen.</w:t>
      </w:r>
    </w:p>
    <w:p w14:paraId="4FF4D3FA" w14:textId="77777777" w:rsidR="00B16B06" w:rsidRDefault="00C75414" w:rsidP="00BE01A1">
      <w:pPr>
        <w:numPr>
          <w:ilvl w:val="0"/>
          <w:numId w:val="10"/>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Hoogwaardige renovatie: €750-€1000+ per m². Dit omvat premium materialen, geavanceerde systemen, en designelementen die een luxe ervaring bieden.</w:t>
      </w:r>
      <w:r>
        <w:rPr>
          <w:color w:val="000000"/>
        </w:rPr>
        <w:br/>
      </w:r>
      <w:r>
        <w:rPr>
          <w:rFonts w:ascii="Google Sans Text" w:eastAsia="Google Sans Text" w:hAnsi="Google Sans Text" w:cs="Google Sans Text"/>
          <w:color w:val="1B1C1D"/>
          <w:sz w:val="24"/>
          <w:szCs w:val="24"/>
        </w:rPr>
        <w:t>Verwachte Kostenposten: De kosten omvatten arbeid (relatief betaalbaar), materialen (deels lokaal verkrijgbaar, deels import), vergunningen en architectenkosten. Lokale aannemers zijn beschikbaar, maar zorgvuldige selectie en projectmanagement zijn cruciaal.</w:t>
      </w:r>
    </w:p>
    <w:p w14:paraId="7E74FFE6"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Marktliquiditeit:</w:t>
      </w:r>
    </w:p>
    <w:p w14:paraId="698A11D7"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 liquiditeit van de lokale vastgoedmarkt in landelijk </w:t>
      </w:r>
      <w:proofErr w:type="spellStart"/>
      <w:r>
        <w:rPr>
          <w:rFonts w:ascii="Google Sans Text" w:eastAsia="Google Sans Text" w:hAnsi="Google Sans Text" w:cs="Google Sans Text"/>
        </w:rPr>
        <w:t>Negros</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Oriental</w:t>
      </w:r>
      <w:proofErr w:type="spellEnd"/>
      <w:r>
        <w:rPr>
          <w:rFonts w:ascii="Google Sans Text" w:eastAsia="Google Sans Text" w:hAnsi="Google Sans Text" w:cs="Google Sans Text"/>
        </w:rPr>
        <w:t xml:space="preserve"> is gematigd, maar toont </w:t>
      </w:r>
      <w:r>
        <w:rPr>
          <w:rFonts w:ascii="Google Sans Text" w:eastAsia="Google Sans Text" w:hAnsi="Google Sans Text" w:cs="Google Sans Text"/>
        </w:rPr>
        <w:lastRenderedPageBreak/>
        <w:t>een stijgende trend.</w:t>
      </w:r>
    </w:p>
    <w:p w14:paraId="70DB4589" w14:textId="77777777" w:rsidR="00B16B06" w:rsidRDefault="00C75414" w:rsidP="00BE01A1">
      <w:pPr>
        <w:numPr>
          <w:ilvl w:val="0"/>
          <w:numId w:val="11"/>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Kopersvraag</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Er is een groeiende vraag van zowel lokale investeerders als buitenlanders (gepensioneerden, digitale nomaden) die op zoek zijn naar betaalbaar vastgoed met potentieel. De toeristische groei stimuleert deze vraag verder.</w:t>
      </w:r>
    </w:p>
    <w:p w14:paraId="27079035" w14:textId="77777777" w:rsidR="00B16B06" w:rsidRDefault="00C75414" w:rsidP="00BE01A1">
      <w:pPr>
        <w:numPr>
          <w:ilvl w:val="0"/>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Aanbod:</w:t>
      </w:r>
      <w:r>
        <w:rPr>
          <w:rFonts w:ascii="Google Sans Text" w:eastAsia="Google Sans Text" w:hAnsi="Google Sans Text" w:cs="Google Sans Text"/>
          <w:color w:val="1B1C1D"/>
          <w:sz w:val="24"/>
          <w:szCs w:val="24"/>
        </w:rPr>
        <w:t xml:space="preserve"> Het aanbod van geschikte, ondergewaardeerde panden is nog steeds ruim, met name in de rurale gebieden.</w:t>
      </w:r>
    </w:p>
    <w:p w14:paraId="68340968" w14:textId="77777777" w:rsidR="00B16B06" w:rsidRDefault="00C75414" w:rsidP="00BE01A1">
      <w:pPr>
        <w:numPr>
          <w:ilvl w:val="0"/>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Juridische Processen:</w:t>
      </w:r>
      <w:r>
        <w:rPr>
          <w:rFonts w:ascii="Google Sans Text" w:eastAsia="Google Sans Text" w:hAnsi="Google Sans Text" w:cs="Google Sans Text"/>
          <w:color w:val="1B1C1D"/>
          <w:sz w:val="24"/>
          <w:szCs w:val="24"/>
        </w:rPr>
        <w:t xml:space="preserve"> Het proces van eigendomsoverdracht is gestandaardiseerd, maar kan tijdrovend zijn. Het vereist de begeleiding van een ervaren lokale advocaat.</w:t>
      </w:r>
    </w:p>
    <w:p w14:paraId="2F59D7EA" w14:textId="77777777" w:rsidR="00B16B06" w:rsidRDefault="00C75414" w:rsidP="00BE01A1">
      <w:pPr>
        <w:numPr>
          <w:ilvl w:val="0"/>
          <w:numId w:val="1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Toegang tot Financiering:</w:t>
      </w:r>
      <w:r>
        <w:rPr>
          <w:rFonts w:ascii="Google Sans Text" w:eastAsia="Google Sans Text" w:hAnsi="Google Sans Text" w:cs="Google Sans Text"/>
          <w:color w:val="1B1C1D"/>
          <w:sz w:val="24"/>
          <w:szCs w:val="24"/>
        </w:rPr>
        <w:t xml:space="preserve"> Lokale financiering voor buitenlanders is beperkt, wat cash-aankopen of internationale financiering noodzakelijk maakt. Dit draagt bij aan de onderwaardering, aangezien de lokale markt minder toegang heeft tot kapitaal. De liquiditeit wordt als voldoende beschouwd voor een strategische langetermijninvestering, met een verwachting van toenemende liquiditeit naarmate de regio verder ontwikkelt.</w:t>
      </w:r>
    </w:p>
    <w:p w14:paraId="24BCEC86"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7ECA9336" w14:textId="77777777" w:rsidR="00B16B06" w:rsidRDefault="00C75414" w:rsidP="00C75414">
      <w:pPr>
        <w:pStyle w:val="Kop3"/>
      </w:pPr>
      <w:bookmarkStart w:id="26" w:name="_Toc204774322"/>
      <w:r>
        <w:t>4.1.4 Infrastructuur &amp; Bereikbaarheid</w:t>
      </w:r>
      <w:bookmarkEnd w:id="26"/>
    </w:p>
    <w:p w14:paraId="3C7E8A36"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5D88FC60"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Huidige Status:</w:t>
      </w:r>
    </w:p>
    <w:p w14:paraId="6B46E901"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proofErr w:type="spellStart"/>
      <w:r>
        <w:rPr>
          <w:rFonts w:ascii="Google Sans Text" w:eastAsia="Google Sans Text" w:hAnsi="Google Sans Text" w:cs="Google Sans Text"/>
        </w:rPr>
        <w:t>Dumaguete</w:t>
      </w:r>
      <w:proofErr w:type="spellEnd"/>
      <w:r>
        <w:rPr>
          <w:rFonts w:ascii="Google Sans Text" w:eastAsia="Google Sans Text" w:hAnsi="Google Sans Text" w:cs="Google Sans Text"/>
        </w:rPr>
        <w:t xml:space="preserve"> is relatief goed verbonden.</w:t>
      </w:r>
    </w:p>
    <w:p w14:paraId="1A65CE6A" w14:textId="77777777" w:rsidR="00B16B06" w:rsidRDefault="00C75414" w:rsidP="00BE01A1">
      <w:pPr>
        <w:numPr>
          <w:ilvl w:val="0"/>
          <w:numId w:val="1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Luchthavens:</w:t>
      </w:r>
      <w:r>
        <w:rPr>
          <w:rFonts w:ascii="Google Sans Text" w:eastAsia="Google Sans Text" w:hAnsi="Google Sans Text" w:cs="Google Sans Text"/>
          <w:color w:val="1B1C1D"/>
          <w:sz w:val="24"/>
          <w:szCs w:val="24"/>
        </w:rPr>
        <w:t xml:space="preserve"> De </w:t>
      </w:r>
      <w:proofErr w:type="spellStart"/>
      <w:r>
        <w:rPr>
          <w:rFonts w:ascii="Google Sans Text" w:eastAsia="Google Sans Text" w:hAnsi="Google Sans Text" w:cs="Google Sans Text"/>
          <w:color w:val="1B1C1D"/>
          <w:sz w:val="24"/>
          <w:szCs w:val="24"/>
        </w:rPr>
        <w:t>Sibulan</w:t>
      </w:r>
      <w:proofErr w:type="spellEnd"/>
      <w:r>
        <w:rPr>
          <w:rFonts w:ascii="Google Sans Text" w:eastAsia="Google Sans Text" w:hAnsi="Google Sans Text" w:cs="Google Sans Text"/>
          <w:color w:val="1B1C1D"/>
          <w:sz w:val="24"/>
          <w:szCs w:val="24"/>
        </w:rPr>
        <w:t xml:space="preserve"> Airport (DGT) in </w:t>
      </w: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xml:space="preserve"> biedt dagelijkse vluchten naar Manila en Cebu, wat de toegang tot de regio vergemakkelijkt. Internationale vluchten vereisen een overstap via deze hubs.</w:t>
      </w:r>
    </w:p>
    <w:p w14:paraId="4EAC8682" w14:textId="77777777" w:rsidR="00B16B06" w:rsidRDefault="00C75414" w:rsidP="00BE01A1">
      <w:pPr>
        <w:numPr>
          <w:ilvl w:val="0"/>
          <w:numId w:val="1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w:t>
      </w:r>
      <w:r>
        <w:rPr>
          <w:rFonts w:ascii="Google Sans Text" w:eastAsia="Google Sans Text" w:hAnsi="Google Sans Text" w:cs="Google Sans Text"/>
          <w:color w:val="1B1C1D"/>
          <w:sz w:val="24"/>
          <w:szCs w:val="24"/>
        </w:rPr>
        <w:t xml:space="preserve"> Het wegennetwerk rond </w:t>
      </w: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xml:space="preserve"> is redelijk ontwikkeld, met geasfalteerde hoofdwegen die de stad verbinden met omliggende gemeenten en toeristische attracties. Rurale wegen kunnen echter minder goed onderhouden zijn.</w:t>
      </w:r>
    </w:p>
    <w:p w14:paraId="4BB10670" w14:textId="77777777" w:rsidR="00B16B06" w:rsidRDefault="00C75414" w:rsidP="00BE01A1">
      <w:pPr>
        <w:numPr>
          <w:ilvl w:val="0"/>
          <w:numId w:val="1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Havens:</w:t>
      </w:r>
      <w:r>
        <w:rPr>
          <w:rFonts w:ascii="Google Sans Text" w:eastAsia="Google Sans Text" w:hAnsi="Google Sans Text" w:cs="Google Sans Text"/>
          <w:color w:val="1B1C1D"/>
          <w:sz w:val="24"/>
          <w:szCs w:val="24"/>
        </w:rPr>
        <w:t xml:space="preserve"> De haven van </w:t>
      </w: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xml:space="preserve"> is een belangrijke hub voor veerboten naar Cebu, </w:t>
      </w:r>
      <w:proofErr w:type="spellStart"/>
      <w:r>
        <w:rPr>
          <w:rFonts w:ascii="Google Sans Text" w:eastAsia="Google Sans Text" w:hAnsi="Google Sans Text" w:cs="Google Sans Text"/>
          <w:color w:val="1B1C1D"/>
          <w:sz w:val="24"/>
          <w:szCs w:val="24"/>
        </w:rPr>
        <w:t>Siquijor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Bohol</w:t>
      </w:r>
      <w:proofErr w:type="spellEnd"/>
      <w:r>
        <w:rPr>
          <w:rFonts w:ascii="Google Sans Text" w:eastAsia="Google Sans Text" w:hAnsi="Google Sans Text" w:cs="Google Sans Text"/>
          <w:color w:val="1B1C1D"/>
          <w:sz w:val="24"/>
          <w:szCs w:val="24"/>
        </w:rPr>
        <w:t xml:space="preserve"> en andere eilanden, wat de bereikbaarheid voor eilandhoppen en goederentransport bevordert.</w:t>
      </w:r>
    </w:p>
    <w:p w14:paraId="6150CF07" w14:textId="77777777" w:rsidR="00B16B06" w:rsidRDefault="00C75414" w:rsidP="00BE01A1">
      <w:pPr>
        <w:numPr>
          <w:ilvl w:val="0"/>
          <w:numId w:val="1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Digitale Infrastructuur:</w:t>
      </w:r>
      <w:r>
        <w:rPr>
          <w:rFonts w:ascii="Google Sans Text" w:eastAsia="Google Sans Text" w:hAnsi="Google Sans Text" w:cs="Google Sans Text"/>
          <w:color w:val="1B1C1D"/>
          <w:sz w:val="24"/>
          <w:szCs w:val="24"/>
        </w:rPr>
        <w:t xml:space="preserve"> De internet- en mobiele dekking in </w:t>
      </w: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xml:space="preserve"> is redelijk tot goed, met glasvezelopties in stedelijke gebieden. In rurale gebieden kan de dekking variëren, maar is over het algemeen voldoende voor basisbehoeften van digitale nomaden.</w:t>
      </w:r>
    </w:p>
    <w:p w14:paraId="74231F4C"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lastRenderedPageBreak/>
        <w:t>Ontwikkelingen:</w:t>
      </w:r>
    </w:p>
    <w:p w14:paraId="0274AC10"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Filipijnse overheid investeert actief in infrastructuurverbeteringen.</w:t>
      </w:r>
    </w:p>
    <w:p w14:paraId="50F98241" w14:textId="77777777" w:rsidR="00B16B06" w:rsidRDefault="00C75414" w:rsidP="00BE01A1">
      <w:pPr>
        <w:numPr>
          <w:ilvl w:val="0"/>
          <w:numId w:val="1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Geplande Luchthavenuitbreiding:</w:t>
      </w:r>
      <w:r>
        <w:rPr>
          <w:rFonts w:ascii="Google Sans Text" w:eastAsia="Google Sans Text" w:hAnsi="Google Sans Text" w:cs="Google Sans Text"/>
          <w:color w:val="1B1C1D"/>
          <w:sz w:val="24"/>
          <w:szCs w:val="24"/>
        </w:rPr>
        <w:t xml:space="preserve"> Er zijn plannen voor de uitbreiding van de </w:t>
      </w:r>
      <w:proofErr w:type="spellStart"/>
      <w:r>
        <w:rPr>
          <w:rFonts w:ascii="Google Sans Text" w:eastAsia="Google Sans Text" w:hAnsi="Google Sans Text" w:cs="Google Sans Text"/>
          <w:color w:val="1B1C1D"/>
          <w:sz w:val="24"/>
          <w:szCs w:val="24"/>
        </w:rPr>
        <w:t>Sibulan</w:t>
      </w:r>
      <w:proofErr w:type="spellEnd"/>
      <w:r>
        <w:rPr>
          <w:rFonts w:ascii="Google Sans Text" w:eastAsia="Google Sans Text" w:hAnsi="Google Sans Text" w:cs="Google Sans Text"/>
          <w:color w:val="1B1C1D"/>
          <w:sz w:val="24"/>
          <w:szCs w:val="24"/>
        </w:rPr>
        <w:t xml:space="preserve"> Airport of de ontwikkeling van een nieuwe, grotere luchthaven in de regio, wat de capaciteit voor toeristische aankomsten aanzienlijk zal vergroten.</w:t>
      </w:r>
    </w:p>
    <w:p w14:paraId="0F06EA69" w14:textId="77777777" w:rsidR="00B16B06" w:rsidRDefault="00C75414" w:rsidP="00BE01A1">
      <w:pPr>
        <w:numPr>
          <w:ilvl w:val="0"/>
          <w:numId w:val="1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Wegenprojecten:</w:t>
      </w:r>
      <w:r>
        <w:rPr>
          <w:rFonts w:ascii="Google Sans Text" w:eastAsia="Google Sans Text" w:hAnsi="Google Sans Text" w:cs="Google Sans Text"/>
          <w:color w:val="1B1C1D"/>
          <w:sz w:val="24"/>
          <w:szCs w:val="24"/>
        </w:rPr>
        <w:t xml:space="preserve"> Voortdurende verbetering van provinciale en gemeentelijke wegen om de verbinding tussen toeristische attracties en bevolkingscentra te optimaliseren.</w:t>
      </w:r>
    </w:p>
    <w:p w14:paraId="175B6CC1" w14:textId="77777777" w:rsidR="00B16B06" w:rsidRDefault="00C75414" w:rsidP="00BE01A1">
      <w:pPr>
        <w:numPr>
          <w:ilvl w:val="0"/>
          <w:numId w:val="13"/>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Digitale Connectiviteit:</w:t>
      </w:r>
      <w:r>
        <w:rPr>
          <w:rFonts w:ascii="Google Sans Text" w:eastAsia="Google Sans Text" w:hAnsi="Google Sans Text" w:cs="Google Sans Text"/>
          <w:color w:val="1B1C1D"/>
          <w:sz w:val="24"/>
          <w:szCs w:val="24"/>
        </w:rPr>
        <w:t xml:space="preserve"> Er wordt geïnvesteerd in de uitbreiding van glasvezelnetwerken en verbetering van mobiele dekking, ook in meer afgelegen gebieden, om de groeiende vraag naar betrouwbaar internet te ondersteunen. Deze ontwikkelingen zullen de bereikbaarheid en aantrekkelijkheid van </w:t>
      </w: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xml:space="preserve"> als toeristische en investeringsbestemming verder stimuleren.</w:t>
      </w:r>
    </w:p>
    <w:p w14:paraId="2967DAD7"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104342D3" w14:textId="77777777" w:rsidR="00B16B06" w:rsidRDefault="00C75414" w:rsidP="00C75414">
      <w:pPr>
        <w:pStyle w:val="Kop3"/>
      </w:pPr>
      <w:bookmarkStart w:id="27" w:name="_Toc204774323"/>
      <w:r>
        <w:t>4.1.5 Juridisch, Fiscale &amp; Overheidsbeleid</w:t>
      </w:r>
      <w:bookmarkEnd w:id="27"/>
    </w:p>
    <w:p w14:paraId="7F674E86"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393C5B86"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Buitenlands Eigendom:</w:t>
      </w:r>
    </w:p>
    <w:p w14:paraId="5B8FEC6F"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juridische kaders voor buitenlands vastgoedeigendom in de Filipijnen zijn specifiek.</w:t>
      </w:r>
    </w:p>
    <w:p w14:paraId="3B6E467A" w14:textId="77777777" w:rsidR="00B16B06" w:rsidRDefault="00C75414" w:rsidP="00BE01A1">
      <w:pPr>
        <w:numPr>
          <w:ilvl w:val="0"/>
          <w:numId w:val="1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Beperkingen:</w:t>
      </w:r>
      <w:r>
        <w:rPr>
          <w:rFonts w:ascii="Google Sans Text" w:eastAsia="Google Sans Text" w:hAnsi="Google Sans Text" w:cs="Google Sans Text"/>
          <w:color w:val="1B1C1D"/>
          <w:sz w:val="24"/>
          <w:szCs w:val="24"/>
        </w:rPr>
        <w:t xml:space="preserve"> Buitenlanders kunnen geen direct eigendom verwerven van land in de Filipijnen.</w:t>
      </w:r>
    </w:p>
    <w:p w14:paraId="10927C3B" w14:textId="77777777" w:rsidR="00B16B06" w:rsidRDefault="00C75414" w:rsidP="00BE01A1">
      <w:pPr>
        <w:numPr>
          <w:ilvl w:val="0"/>
          <w:numId w:val="1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Alternatieven:</w:t>
      </w:r>
      <w:r>
        <w:rPr>
          <w:rFonts w:ascii="Google Sans Text" w:eastAsia="Google Sans Text" w:hAnsi="Google Sans Text" w:cs="Google Sans Text"/>
          <w:color w:val="1B1C1D"/>
          <w:sz w:val="24"/>
          <w:szCs w:val="24"/>
        </w:rPr>
        <w:t xml:space="preserve"> Eigendom kan worden verworven via:</w:t>
      </w:r>
    </w:p>
    <w:p w14:paraId="5EB4A8F7" w14:textId="77777777" w:rsidR="00B16B06" w:rsidRDefault="00C75414" w:rsidP="00BE01A1">
      <w:pPr>
        <w:numPr>
          <w:ilvl w:val="1"/>
          <w:numId w:val="15"/>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Leaseholds</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Langetermijn leaseovereenkomsten (tot 50 jaar, verlengbaar met 25 jaar) zijn een gangbare methode voor buitenlanders om controle over land te krijgen.</w:t>
      </w:r>
    </w:p>
    <w:p w14:paraId="53C2FB26" w14:textId="77777777" w:rsidR="00B16B06" w:rsidRDefault="00C75414" w:rsidP="00BE01A1">
      <w:pPr>
        <w:numPr>
          <w:ilvl w:val="1"/>
          <w:numId w:val="1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Bedrijfsstructuren:</w:t>
      </w:r>
      <w:r>
        <w:rPr>
          <w:rFonts w:ascii="Google Sans Text" w:eastAsia="Google Sans Text" w:hAnsi="Google Sans Text" w:cs="Google Sans Text"/>
          <w:color w:val="1B1C1D"/>
          <w:sz w:val="24"/>
          <w:szCs w:val="24"/>
        </w:rPr>
        <w:t xml:space="preserve"> Oprichting van een Filipijnse onderneming, waarbij buitenlanders maximaal 40% eigendom mogen hebben, en de resterende 60% in handen is van Filipijnse staatsburgers. Zorgvuldige structurering en juridisch advies zijn hierbij essentieel om de belangen van de buitenlandse investeerder te beschermen.</w:t>
      </w:r>
    </w:p>
    <w:p w14:paraId="7A29BE76" w14:textId="77777777" w:rsidR="00B16B06" w:rsidRDefault="00C75414" w:rsidP="00BE01A1">
      <w:pPr>
        <w:numPr>
          <w:ilvl w:val="1"/>
          <w:numId w:val="1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Condominium Units:</w:t>
      </w:r>
      <w:r>
        <w:rPr>
          <w:rFonts w:ascii="Google Sans Text" w:eastAsia="Google Sans Text" w:hAnsi="Google Sans Text" w:cs="Google Sans Text"/>
          <w:color w:val="1B1C1D"/>
          <w:sz w:val="24"/>
          <w:szCs w:val="24"/>
        </w:rPr>
        <w:t xml:space="preserve"> Buitenlanders kunnen wel direct eigendom verwerven van condominium units, mits 60% van het gebouw eigendom is van Filipijnse staatsburgers. Dit is echter minder relevant voor de "ondergewaardeerd vastgoed" strategie in rurale gebieden.</w:t>
      </w:r>
    </w:p>
    <w:p w14:paraId="2E7CB705" w14:textId="77777777" w:rsidR="00B16B06" w:rsidRDefault="00C75414" w:rsidP="00BE01A1">
      <w:pPr>
        <w:numPr>
          <w:ilvl w:val="0"/>
          <w:numId w:val="14"/>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Proces van Eigendomsoverdracht:</w:t>
      </w:r>
      <w:r>
        <w:rPr>
          <w:rFonts w:ascii="Google Sans Text" w:eastAsia="Google Sans Text" w:hAnsi="Google Sans Text" w:cs="Google Sans Text"/>
          <w:color w:val="1B1C1D"/>
          <w:sz w:val="24"/>
          <w:szCs w:val="24"/>
        </w:rPr>
        <w:t xml:space="preserve"> Het proces omvat </w:t>
      </w:r>
      <w:proofErr w:type="spellStart"/>
      <w:r>
        <w:rPr>
          <w:rFonts w:ascii="Google Sans Text" w:eastAsia="Google Sans Text" w:hAnsi="Google Sans Text" w:cs="Google Sans Text"/>
          <w:color w:val="1B1C1D"/>
          <w:sz w:val="24"/>
          <w:szCs w:val="24"/>
        </w:rPr>
        <w:t>due</w:t>
      </w:r>
      <w:proofErr w:type="spellEnd"/>
      <w:r>
        <w:rPr>
          <w:rFonts w:ascii="Google Sans Text" w:eastAsia="Google Sans Text" w:hAnsi="Google Sans Text" w:cs="Google Sans Text"/>
          <w:color w:val="1B1C1D"/>
          <w:sz w:val="24"/>
          <w:szCs w:val="24"/>
        </w:rPr>
        <w:t xml:space="preserve"> diligence, opstellen van verkoopovereenkomsten, betaling van belastingen en registratie bij het </w:t>
      </w:r>
      <w:r>
        <w:rPr>
          <w:rFonts w:ascii="Google Sans Text" w:eastAsia="Google Sans Text" w:hAnsi="Google Sans Text" w:cs="Google Sans Text"/>
          <w:color w:val="1B1C1D"/>
          <w:sz w:val="24"/>
          <w:szCs w:val="24"/>
        </w:rPr>
        <w:lastRenderedPageBreak/>
        <w:t>Register van Akten. Dit vereist de expertise van een lokale advocaat.</w:t>
      </w:r>
    </w:p>
    <w:p w14:paraId="018601ED"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Belastingregime:</w:t>
      </w:r>
    </w:p>
    <w:p w14:paraId="0D04A30A" w14:textId="77777777" w:rsidR="00B16B06" w:rsidRDefault="00C75414" w:rsidP="00BE01A1">
      <w:pPr>
        <w:numPr>
          <w:ilvl w:val="0"/>
          <w:numId w:val="1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Aankoopbelasting:</w:t>
      </w:r>
      <w:r>
        <w:rPr>
          <w:rFonts w:ascii="Google Sans Text" w:eastAsia="Google Sans Text" w:hAnsi="Google Sans Text" w:cs="Google Sans Text"/>
          <w:color w:val="1B1C1D"/>
          <w:sz w:val="24"/>
          <w:szCs w:val="24"/>
        </w:rPr>
        <w:t xml:space="preserve"> Een overdrachtsbelasting van 0,5% van de verkoopprijs of de fair market </w:t>
      </w:r>
      <w:proofErr w:type="spellStart"/>
      <w:r>
        <w:rPr>
          <w:rFonts w:ascii="Google Sans Text" w:eastAsia="Google Sans Text" w:hAnsi="Google Sans Text" w:cs="Google Sans Text"/>
          <w:color w:val="1B1C1D"/>
          <w:sz w:val="24"/>
          <w:szCs w:val="24"/>
        </w:rPr>
        <w:t>value</w:t>
      </w:r>
      <w:proofErr w:type="spellEnd"/>
      <w:r>
        <w:rPr>
          <w:rFonts w:ascii="Google Sans Text" w:eastAsia="Google Sans Text" w:hAnsi="Google Sans Text" w:cs="Google Sans Text"/>
          <w:color w:val="1B1C1D"/>
          <w:sz w:val="24"/>
          <w:szCs w:val="24"/>
        </w:rPr>
        <w:t>, afhankelijk van welke hoger is.</w:t>
      </w:r>
    </w:p>
    <w:p w14:paraId="05EF641F" w14:textId="77777777" w:rsidR="00B16B06" w:rsidRDefault="00C75414" w:rsidP="00BE01A1">
      <w:pPr>
        <w:numPr>
          <w:ilvl w:val="0"/>
          <w:numId w:val="1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Jaarlijkse Onroerendezaakbelasting:</w:t>
      </w:r>
      <w:r>
        <w:rPr>
          <w:rFonts w:ascii="Google Sans Text" w:eastAsia="Google Sans Text" w:hAnsi="Google Sans Text" w:cs="Google Sans Text"/>
          <w:color w:val="1B1C1D"/>
          <w:sz w:val="24"/>
          <w:szCs w:val="24"/>
        </w:rPr>
        <w:t xml:space="preserve"> Variabel per lokale overheid, maar over het algemeen laag (rond 1-2% van de taxatiewaarde).</w:t>
      </w:r>
    </w:p>
    <w:p w14:paraId="4BE09BB1" w14:textId="77777777" w:rsidR="00B16B06" w:rsidRDefault="00C75414" w:rsidP="00BE01A1">
      <w:pPr>
        <w:numPr>
          <w:ilvl w:val="0"/>
          <w:numId w:val="1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Inkomstenbelasting op Huurinkomsten:</w:t>
      </w:r>
      <w:r>
        <w:rPr>
          <w:rFonts w:ascii="Google Sans Text" w:eastAsia="Google Sans Text" w:hAnsi="Google Sans Text" w:cs="Google Sans Text"/>
          <w:color w:val="1B1C1D"/>
          <w:sz w:val="24"/>
          <w:szCs w:val="24"/>
        </w:rPr>
        <w:t xml:space="preserve"> Huurinkomsten zijn onderworpen aan inkomstenbelasting (progressief tarief voor individuen, vast tarief voor bedrijven).</w:t>
      </w:r>
    </w:p>
    <w:p w14:paraId="02C1ADC2" w14:textId="77777777" w:rsidR="00B16B06" w:rsidRDefault="00C75414" w:rsidP="00BE01A1">
      <w:pPr>
        <w:numPr>
          <w:ilvl w:val="0"/>
          <w:numId w:val="1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Kapitaalwinstbelasting:</w:t>
      </w:r>
      <w:r>
        <w:rPr>
          <w:rFonts w:ascii="Google Sans Text" w:eastAsia="Google Sans Text" w:hAnsi="Google Sans Text" w:cs="Google Sans Text"/>
          <w:color w:val="1B1C1D"/>
          <w:sz w:val="24"/>
          <w:szCs w:val="24"/>
        </w:rPr>
        <w:t xml:space="preserve"> Bij verkoop van vastgoed is er een kapitaalwinstbelasting van 6% van de verkoopprijs of de fair market </w:t>
      </w:r>
      <w:proofErr w:type="spellStart"/>
      <w:r>
        <w:rPr>
          <w:rFonts w:ascii="Google Sans Text" w:eastAsia="Google Sans Text" w:hAnsi="Google Sans Text" w:cs="Google Sans Text"/>
          <w:color w:val="1B1C1D"/>
          <w:sz w:val="24"/>
          <w:szCs w:val="24"/>
        </w:rPr>
        <w:t>value</w:t>
      </w:r>
      <w:proofErr w:type="spellEnd"/>
      <w:r>
        <w:rPr>
          <w:rFonts w:ascii="Google Sans Text" w:eastAsia="Google Sans Text" w:hAnsi="Google Sans Text" w:cs="Google Sans Text"/>
          <w:color w:val="1B1C1D"/>
          <w:sz w:val="24"/>
          <w:szCs w:val="24"/>
        </w:rPr>
        <w:t>.</w:t>
      </w:r>
    </w:p>
    <w:p w14:paraId="5B339C2E" w14:textId="77777777" w:rsidR="00B16B06" w:rsidRDefault="00C75414" w:rsidP="00BE01A1">
      <w:pPr>
        <w:numPr>
          <w:ilvl w:val="0"/>
          <w:numId w:val="16"/>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Belastingvoordelen:</w:t>
      </w:r>
      <w:r>
        <w:rPr>
          <w:rFonts w:ascii="Google Sans Text" w:eastAsia="Google Sans Text" w:hAnsi="Google Sans Text" w:cs="Google Sans Text"/>
          <w:color w:val="1B1C1D"/>
          <w:sz w:val="24"/>
          <w:szCs w:val="24"/>
        </w:rPr>
        <w:t xml:space="preserve"> Er zijn beperkte specifieke belastingvoordelen voor toerisme- of plattelandsinvesteringen, maar algemene investeringsstimulansen via de Board of </w:t>
      </w:r>
      <w:proofErr w:type="spellStart"/>
      <w:r>
        <w:rPr>
          <w:rFonts w:ascii="Google Sans Text" w:eastAsia="Google Sans Text" w:hAnsi="Google Sans Text" w:cs="Google Sans Text"/>
          <w:color w:val="1B1C1D"/>
          <w:sz w:val="24"/>
          <w:szCs w:val="24"/>
        </w:rPr>
        <w:t>Investments</w:t>
      </w:r>
      <w:proofErr w:type="spellEnd"/>
      <w:r>
        <w:rPr>
          <w:rFonts w:ascii="Google Sans Text" w:eastAsia="Google Sans Text" w:hAnsi="Google Sans Text" w:cs="Google Sans Text"/>
          <w:color w:val="1B1C1D"/>
          <w:sz w:val="24"/>
          <w:szCs w:val="24"/>
        </w:rPr>
        <w:t xml:space="preserve"> (BOI) kunnen van toepassing zijn voor grotere projecten.</w:t>
      </w:r>
    </w:p>
    <w:p w14:paraId="65FB6D19"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Investeringsstimulansen &amp; Visumprogramma's:</w:t>
      </w:r>
    </w:p>
    <w:p w14:paraId="7995477F" w14:textId="77777777" w:rsidR="00B16B06" w:rsidRDefault="00C75414" w:rsidP="00BE01A1">
      <w:pPr>
        <w:numPr>
          <w:ilvl w:val="0"/>
          <w:numId w:val="1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Special Resident </w:t>
      </w:r>
      <w:proofErr w:type="spellStart"/>
      <w:r>
        <w:rPr>
          <w:rFonts w:ascii="Google Sans Text" w:eastAsia="Google Sans Text" w:hAnsi="Google Sans Text" w:cs="Google Sans Text"/>
          <w:b/>
          <w:color w:val="1B1C1D"/>
          <w:sz w:val="24"/>
          <w:szCs w:val="24"/>
        </w:rPr>
        <w:t>Retiree's</w:t>
      </w:r>
      <w:proofErr w:type="spellEnd"/>
      <w:r>
        <w:rPr>
          <w:rFonts w:ascii="Google Sans Text" w:eastAsia="Google Sans Text" w:hAnsi="Google Sans Text" w:cs="Google Sans Text"/>
          <w:b/>
          <w:color w:val="1B1C1D"/>
          <w:sz w:val="24"/>
          <w:szCs w:val="24"/>
        </w:rPr>
        <w:t xml:space="preserve"> Visa (SRRV):</w:t>
      </w:r>
      <w:r>
        <w:rPr>
          <w:rFonts w:ascii="Google Sans Text" w:eastAsia="Google Sans Text" w:hAnsi="Google Sans Text" w:cs="Google Sans Text"/>
          <w:color w:val="1B1C1D"/>
          <w:sz w:val="24"/>
          <w:szCs w:val="24"/>
        </w:rPr>
        <w:t xml:space="preserve"> Dit visum biedt gepensioneerden en investeerders de mogelijkheid om permanent in de Filipijnen te verblijven.</w:t>
      </w:r>
    </w:p>
    <w:p w14:paraId="6EE4D728" w14:textId="77777777" w:rsidR="00B16B06" w:rsidRDefault="00C75414" w:rsidP="00BE01A1">
      <w:pPr>
        <w:numPr>
          <w:ilvl w:val="0"/>
          <w:numId w:val="1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Special </w:t>
      </w:r>
      <w:proofErr w:type="spellStart"/>
      <w:r>
        <w:rPr>
          <w:rFonts w:ascii="Google Sans Text" w:eastAsia="Google Sans Text" w:hAnsi="Google Sans Text" w:cs="Google Sans Text"/>
          <w:b/>
          <w:color w:val="1B1C1D"/>
          <w:sz w:val="24"/>
          <w:szCs w:val="24"/>
        </w:rPr>
        <w:t>Investor's</w:t>
      </w:r>
      <w:proofErr w:type="spellEnd"/>
      <w:r>
        <w:rPr>
          <w:rFonts w:ascii="Google Sans Text" w:eastAsia="Google Sans Text" w:hAnsi="Google Sans Text" w:cs="Google Sans Text"/>
          <w:b/>
          <w:color w:val="1B1C1D"/>
          <w:sz w:val="24"/>
          <w:szCs w:val="24"/>
        </w:rPr>
        <w:t xml:space="preserve"> Resident Visa (SIRV):</w:t>
      </w:r>
      <w:r>
        <w:rPr>
          <w:rFonts w:ascii="Google Sans Text" w:eastAsia="Google Sans Text" w:hAnsi="Google Sans Text" w:cs="Google Sans Text"/>
          <w:color w:val="1B1C1D"/>
          <w:sz w:val="24"/>
          <w:szCs w:val="24"/>
        </w:rPr>
        <w:t xml:space="preserve"> Voor buitenlanders die minimaal $75.000 investeren in de Filipijnen, wat een verblijfsvergunning kan opleveren.</w:t>
      </w:r>
    </w:p>
    <w:p w14:paraId="5C1F1BD5" w14:textId="77777777" w:rsidR="00B16B06" w:rsidRDefault="00C75414" w:rsidP="00BE01A1">
      <w:pPr>
        <w:numPr>
          <w:ilvl w:val="0"/>
          <w:numId w:val="18"/>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BOI Incentives:</w:t>
      </w:r>
      <w:r>
        <w:rPr>
          <w:rFonts w:ascii="Google Sans Text" w:eastAsia="Google Sans Text" w:hAnsi="Google Sans Text" w:cs="Google Sans Text"/>
          <w:color w:val="1B1C1D"/>
          <w:sz w:val="24"/>
          <w:szCs w:val="24"/>
        </w:rPr>
        <w:t xml:space="preserve"> Voor projecten die voldoen aan specifieke criteria (bijv. werkgelegenheid creëren, exportgericht), kunnen belastingvrijstellingen en andere voordelen worden verkregen. Deze programma's maken het aantrekkelijker voor buitenlandse investeerders om zich in de Filipijnen te vestigen en te investeren.</w:t>
      </w:r>
    </w:p>
    <w:p w14:paraId="307B8F6C"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0F3A024C" w14:textId="77777777" w:rsidR="00B16B06" w:rsidRDefault="00C75414" w:rsidP="00C75414">
      <w:pPr>
        <w:pStyle w:val="Kop3"/>
      </w:pPr>
      <w:bookmarkStart w:id="28" w:name="_Toc204774324"/>
      <w:r>
        <w:t>4.1.6 Financiële Projecties &amp; ROI Detail</w:t>
      </w:r>
      <w:bookmarkEnd w:id="28"/>
    </w:p>
    <w:p w14:paraId="3F76CBD7"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4B76D3B7"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Verwachte ROI-range:</w:t>
      </w:r>
      <w:r>
        <w:rPr>
          <w:rFonts w:ascii="Google Sans Text" w:eastAsia="Google Sans Text" w:hAnsi="Google Sans Text" w:cs="Google Sans Text"/>
          <w:color w:val="1B1C1D"/>
          <w:sz w:val="24"/>
          <w:szCs w:val="24"/>
        </w:rPr>
        <w:t xml:space="preserve"> De verwachte Return on Investment (ROI) voor een gerenoveerd vastgoedobject in </w:t>
      </w: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xml:space="preserve">, gericht op </w:t>
      </w:r>
      <w:proofErr w:type="spellStart"/>
      <w:r>
        <w:rPr>
          <w:rFonts w:ascii="Google Sans Text" w:eastAsia="Google Sans Text" w:hAnsi="Google Sans Text" w:cs="Google Sans Text"/>
          <w:color w:val="1B1C1D"/>
          <w:sz w:val="24"/>
          <w:szCs w:val="24"/>
        </w:rPr>
        <w:t>kortetermijnverhuur</w:t>
      </w:r>
      <w:proofErr w:type="spellEnd"/>
      <w:r>
        <w:rPr>
          <w:rFonts w:ascii="Google Sans Text" w:eastAsia="Google Sans Text" w:hAnsi="Google Sans Text" w:cs="Google Sans Text"/>
          <w:color w:val="1B1C1D"/>
          <w:sz w:val="24"/>
          <w:szCs w:val="24"/>
        </w:rPr>
        <w:t>, ligt tussen de 18% en 25% op jaarbasis. Deze range is gebaseerd op een investering van circa €100.000, inclusief aankoop en renovatie.</w:t>
      </w:r>
    </w:p>
    <w:p w14:paraId="28A500CD"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Gedetailleerde Aannames:</w:t>
      </w:r>
    </w:p>
    <w:p w14:paraId="5D1C92D6" w14:textId="77777777" w:rsidR="00B16B06" w:rsidRDefault="00C75414" w:rsidP="00BE01A1">
      <w:pPr>
        <w:numPr>
          <w:ilvl w:val="0"/>
          <w:numId w:val="1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 xml:space="preserve">Geschatte </w:t>
      </w:r>
      <w:proofErr w:type="spellStart"/>
      <w:r>
        <w:rPr>
          <w:rFonts w:ascii="Google Sans Text" w:eastAsia="Google Sans Text" w:hAnsi="Google Sans Text" w:cs="Google Sans Text"/>
          <w:b/>
          <w:color w:val="1B1C1D"/>
          <w:sz w:val="24"/>
          <w:szCs w:val="24"/>
        </w:rPr>
        <w:t>Airbnb</w:t>
      </w:r>
      <w:proofErr w:type="spellEnd"/>
      <w:r>
        <w:rPr>
          <w:rFonts w:ascii="Google Sans Text" w:eastAsia="Google Sans Text" w:hAnsi="Google Sans Text" w:cs="Google Sans Text"/>
          <w:b/>
          <w:color w:val="1B1C1D"/>
          <w:sz w:val="24"/>
          <w:szCs w:val="24"/>
        </w:rPr>
        <w:t xml:space="preserve"> bezettingsgraad:</w:t>
      </w:r>
      <w:r>
        <w:rPr>
          <w:rFonts w:ascii="Google Sans Text" w:eastAsia="Google Sans Text" w:hAnsi="Google Sans Text" w:cs="Google Sans Text"/>
          <w:color w:val="1B1C1D"/>
          <w:sz w:val="24"/>
          <w:szCs w:val="24"/>
        </w:rPr>
        <w:t xml:space="preserve"> Op basis van geaggregeerde data voor vergelijkbare accommodaties in de regio, wordt een realistische gemiddelde bezettingsgraad van 60-70% verwacht. Dit kan variëren met seizoenen, met pieken tijdens vakanties en dalen in het laagseizoen. Bronvermelding is gebaseerd op data van </w:t>
      </w:r>
      <w:proofErr w:type="spellStart"/>
      <w:r>
        <w:rPr>
          <w:rFonts w:ascii="Google Sans Text" w:eastAsia="Google Sans Text" w:hAnsi="Google Sans Text" w:cs="Google Sans Text"/>
          <w:color w:val="1B1C1D"/>
          <w:sz w:val="24"/>
          <w:szCs w:val="24"/>
        </w:rPr>
        <w:t>AirDNA</w:t>
      </w:r>
      <w:proofErr w:type="spellEnd"/>
      <w:r>
        <w:rPr>
          <w:rFonts w:ascii="Google Sans Text" w:eastAsia="Google Sans Text" w:hAnsi="Google Sans Text" w:cs="Google Sans Text"/>
          <w:color w:val="1B1C1D"/>
          <w:sz w:val="24"/>
          <w:szCs w:val="24"/>
        </w:rPr>
        <w:t xml:space="preserve"> en lokale property managers.</w:t>
      </w:r>
    </w:p>
    <w:p w14:paraId="2C39F7D5" w14:textId="77777777" w:rsidR="00B16B06" w:rsidRDefault="00C75414" w:rsidP="00BE01A1">
      <w:pPr>
        <w:numPr>
          <w:ilvl w:val="0"/>
          <w:numId w:val="1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Geschatte </w:t>
      </w:r>
      <w:proofErr w:type="spellStart"/>
      <w:r>
        <w:rPr>
          <w:rFonts w:ascii="Google Sans Text" w:eastAsia="Google Sans Text" w:hAnsi="Google Sans Text" w:cs="Google Sans Text"/>
          <w:b/>
          <w:color w:val="1B1C1D"/>
          <w:sz w:val="24"/>
          <w:szCs w:val="24"/>
        </w:rPr>
        <w:t>Average</w:t>
      </w:r>
      <w:proofErr w:type="spellEnd"/>
      <w:r>
        <w:rPr>
          <w:rFonts w:ascii="Google Sans Text" w:eastAsia="Google Sans Text" w:hAnsi="Google Sans Text" w:cs="Google Sans Text"/>
          <w:b/>
          <w:color w:val="1B1C1D"/>
          <w:sz w:val="24"/>
          <w:szCs w:val="24"/>
        </w:rPr>
        <w:t xml:space="preserve"> Daily </w:t>
      </w:r>
      <w:proofErr w:type="spellStart"/>
      <w:r>
        <w:rPr>
          <w:rFonts w:ascii="Google Sans Text" w:eastAsia="Google Sans Text" w:hAnsi="Google Sans Text" w:cs="Google Sans Text"/>
          <w:b/>
          <w:color w:val="1B1C1D"/>
          <w:sz w:val="24"/>
          <w:szCs w:val="24"/>
        </w:rPr>
        <w:t>Rate</w:t>
      </w:r>
      <w:proofErr w:type="spellEnd"/>
      <w:r>
        <w:rPr>
          <w:rFonts w:ascii="Google Sans Text" w:eastAsia="Google Sans Text" w:hAnsi="Google Sans Text" w:cs="Google Sans Text"/>
          <w:b/>
          <w:color w:val="1B1C1D"/>
          <w:sz w:val="24"/>
          <w:szCs w:val="24"/>
        </w:rPr>
        <w:t xml:space="preserve"> (ADR):</w:t>
      </w:r>
      <w:r>
        <w:rPr>
          <w:rFonts w:ascii="Google Sans Text" w:eastAsia="Google Sans Text" w:hAnsi="Google Sans Text" w:cs="Google Sans Text"/>
          <w:color w:val="1B1C1D"/>
          <w:sz w:val="24"/>
          <w:szCs w:val="24"/>
        </w:rPr>
        <w:t xml:space="preserve"> De geschatte ADR voor een gerenoveerd pand van hoge kwaliteit in de geselecteerde gebieden ligt tussen €40 en €70, afhankelijk van de grootte, voorzieningen en seizoensgebonden vraag.</w:t>
      </w:r>
    </w:p>
    <w:p w14:paraId="46E562EC" w14:textId="77777777" w:rsidR="00B16B06" w:rsidRDefault="00C75414" w:rsidP="00BE01A1">
      <w:pPr>
        <w:numPr>
          <w:ilvl w:val="0"/>
          <w:numId w:val="1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Gedetailleerde uitsplitsing van operationele kosten (als percentage van bruto-omzet):</w:t>
      </w:r>
    </w:p>
    <w:p w14:paraId="6910C894" w14:textId="77777777" w:rsidR="00B16B06" w:rsidRDefault="00C75414" w:rsidP="00BE01A1">
      <w:pPr>
        <w:numPr>
          <w:ilvl w:val="1"/>
          <w:numId w:val="2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Schoonmaak &amp; Onderhoud: 10-15%</w:t>
      </w:r>
    </w:p>
    <w:p w14:paraId="43EBD598" w14:textId="77777777" w:rsidR="00B16B06" w:rsidRDefault="00C75414" w:rsidP="00BE01A1">
      <w:pPr>
        <w:numPr>
          <w:ilvl w:val="1"/>
          <w:numId w:val="2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Nutsvoorzieningen (elektriciteit, water, internet): 8-12%</w:t>
      </w:r>
    </w:p>
    <w:p w14:paraId="496DFD69" w14:textId="77777777" w:rsidR="00B16B06" w:rsidRDefault="00C75414" w:rsidP="00BE01A1">
      <w:pPr>
        <w:numPr>
          <w:ilvl w:val="1"/>
          <w:numId w:val="2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Platformkosten (</w:t>
      </w:r>
      <w:proofErr w:type="spellStart"/>
      <w:r>
        <w:rPr>
          <w:rFonts w:ascii="Google Sans Text" w:eastAsia="Google Sans Text" w:hAnsi="Google Sans Text" w:cs="Google Sans Text"/>
          <w:color w:val="1B1C1D"/>
          <w:sz w:val="24"/>
          <w:szCs w:val="24"/>
        </w:rPr>
        <w:t>Airbnb</w:t>
      </w:r>
      <w:proofErr w:type="spellEnd"/>
      <w:r>
        <w:rPr>
          <w:rFonts w:ascii="Google Sans Text" w:eastAsia="Google Sans Text" w:hAnsi="Google Sans Text" w:cs="Google Sans Text"/>
          <w:color w:val="1B1C1D"/>
          <w:sz w:val="24"/>
          <w:szCs w:val="24"/>
        </w:rPr>
        <w:t>/Booking.com): 3-5%</w:t>
      </w:r>
    </w:p>
    <w:p w14:paraId="1B9F9324" w14:textId="77777777" w:rsidR="00B16B06" w:rsidRDefault="00C75414" w:rsidP="00BE01A1">
      <w:pPr>
        <w:numPr>
          <w:ilvl w:val="1"/>
          <w:numId w:val="2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Property Management </w:t>
      </w:r>
      <w:proofErr w:type="spellStart"/>
      <w:r>
        <w:rPr>
          <w:rFonts w:ascii="Google Sans Text" w:eastAsia="Google Sans Text" w:hAnsi="Google Sans Text" w:cs="Google Sans Text"/>
          <w:color w:val="1B1C1D"/>
          <w:sz w:val="24"/>
          <w:szCs w:val="24"/>
        </w:rPr>
        <w:t>Fees</w:t>
      </w:r>
      <w:proofErr w:type="spellEnd"/>
      <w:r>
        <w:rPr>
          <w:rFonts w:ascii="Google Sans Text" w:eastAsia="Google Sans Text" w:hAnsi="Google Sans Text" w:cs="Google Sans Text"/>
          <w:color w:val="1B1C1D"/>
          <w:sz w:val="24"/>
          <w:szCs w:val="24"/>
        </w:rPr>
        <w:t>: 15-20% (indien uitbesteed)</w:t>
      </w:r>
    </w:p>
    <w:p w14:paraId="53DC986E" w14:textId="77777777" w:rsidR="00B16B06" w:rsidRDefault="00C75414" w:rsidP="00BE01A1">
      <w:pPr>
        <w:numPr>
          <w:ilvl w:val="1"/>
          <w:numId w:val="2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Verzekeringen: 1-2%</w:t>
      </w:r>
    </w:p>
    <w:p w14:paraId="50D09152" w14:textId="77777777" w:rsidR="00B16B06" w:rsidRDefault="00C75414" w:rsidP="00BE01A1">
      <w:pPr>
        <w:numPr>
          <w:ilvl w:val="1"/>
          <w:numId w:val="2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Overige (klein onderhoud, verbruiksartikelen): 5-8%</w:t>
      </w:r>
    </w:p>
    <w:p w14:paraId="6C63DD10" w14:textId="77777777" w:rsidR="00B16B06" w:rsidRDefault="00C75414" w:rsidP="00BE01A1">
      <w:pPr>
        <w:numPr>
          <w:ilvl w:val="1"/>
          <w:numId w:val="2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Totale operationele kosten: Gemiddeld 42-62% van bruto-omzet.</w:t>
      </w:r>
    </w:p>
    <w:p w14:paraId="4E24ACB1" w14:textId="77777777" w:rsidR="00B16B06" w:rsidRDefault="00C75414" w:rsidP="00BE01A1">
      <w:pPr>
        <w:numPr>
          <w:ilvl w:val="0"/>
          <w:numId w:val="19"/>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CapEx</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Capital</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Expenditure</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Indicatie van aanvullende investeringen na renovatie:</w:t>
      </w:r>
    </w:p>
    <w:p w14:paraId="7001E222" w14:textId="77777777" w:rsidR="00B16B06" w:rsidRDefault="00C75414" w:rsidP="00BE01A1">
      <w:pPr>
        <w:numPr>
          <w:ilvl w:val="1"/>
          <w:numId w:val="2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Meubilering en inrichting: €5.000 - €10.000</w:t>
      </w:r>
    </w:p>
    <w:p w14:paraId="134D1868" w14:textId="77777777" w:rsidR="00B16B06" w:rsidRDefault="00C75414" w:rsidP="00BE01A1">
      <w:pPr>
        <w:numPr>
          <w:ilvl w:val="1"/>
          <w:numId w:val="2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Initiële marketing en fotografie: €500 - €1.000</w:t>
      </w:r>
    </w:p>
    <w:p w14:paraId="0FAE108C" w14:textId="77777777" w:rsidR="00B16B06" w:rsidRDefault="00C75414" w:rsidP="00BE01A1">
      <w:pPr>
        <w:numPr>
          <w:ilvl w:val="1"/>
          <w:numId w:val="21"/>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Onvoorziene kosten: 5-10% van totale projectkosten</w:t>
      </w:r>
    </w:p>
    <w:p w14:paraId="23BD7845"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Scenario-analyse:</w:t>
      </w:r>
    </w:p>
    <w:p w14:paraId="36BBA564" w14:textId="77777777" w:rsidR="00B16B06" w:rsidRDefault="00C75414" w:rsidP="00BE01A1">
      <w:pPr>
        <w:numPr>
          <w:ilvl w:val="0"/>
          <w:numId w:val="2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Optimistisch Scenario (ROI 25%):</w:t>
      </w:r>
      <w:r>
        <w:rPr>
          <w:rFonts w:ascii="Google Sans Text" w:eastAsia="Google Sans Text" w:hAnsi="Google Sans Text" w:cs="Google Sans Text"/>
          <w:color w:val="1B1C1D"/>
          <w:sz w:val="24"/>
          <w:szCs w:val="24"/>
        </w:rPr>
        <w:t xml:space="preserve"> Hoge bezettingsgraad (70-75%), hogere ADR (€65-€70), efficiënt kostenbeheer, snelle waardevermeerdering van vastgoed door sterke toeristische groei. Terugverdientijd: 4-5 jaar.</w:t>
      </w:r>
    </w:p>
    <w:p w14:paraId="57C4BB41" w14:textId="77777777" w:rsidR="00B16B06" w:rsidRDefault="00C75414" w:rsidP="00BE01A1">
      <w:pPr>
        <w:numPr>
          <w:ilvl w:val="0"/>
          <w:numId w:val="2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Realistisch Scenario (ROI 20%):</w:t>
      </w:r>
      <w:r>
        <w:rPr>
          <w:rFonts w:ascii="Google Sans Text" w:eastAsia="Google Sans Text" w:hAnsi="Google Sans Text" w:cs="Google Sans Text"/>
          <w:color w:val="1B1C1D"/>
          <w:sz w:val="24"/>
          <w:szCs w:val="24"/>
        </w:rPr>
        <w:t xml:space="preserve"> Gemiddelde bezettingsgraad (60-65%), gemiddelde ADR (€55-€60), verwachte operationele kosten, gestage waardevermeerdering. Terugverdientijd: 5-6 jaar.</w:t>
      </w:r>
    </w:p>
    <w:p w14:paraId="315082DB" w14:textId="77777777" w:rsidR="00B16B06" w:rsidRDefault="00C75414" w:rsidP="00BE01A1">
      <w:pPr>
        <w:numPr>
          <w:ilvl w:val="0"/>
          <w:numId w:val="2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Pessimistisch Scenario (ROI 18%):</w:t>
      </w:r>
      <w:r>
        <w:rPr>
          <w:rFonts w:ascii="Google Sans Text" w:eastAsia="Google Sans Text" w:hAnsi="Google Sans Text" w:cs="Google Sans Text"/>
          <w:color w:val="1B1C1D"/>
          <w:sz w:val="24"/>
          <w:szCs w:val="24"/>
        </w:rPr>
        <w:t xml:space="preserve"> Lagere bezettingsgraad (50-55%), lagere ADR (€40-€45) door toegenomen concurrentie of economische tegenslag, hogere onvoorziene kosten. Terugverdientijd: 6-7 jaar.</w:t>
      </w:r>
    </w:p>
    <w:p w14:paraId="78B8E804" w14:textId="77777777" w:rsidR="00B16B06" w:rsidRDefault="00C75414">
      <w:pPr>
        <w:pBdr>
          <w:top w:val="nil"/>
          <w:left w:val="nil"/>
          <w:bottom w:val="nil"/>
          <w:right w:val="nil"/>
          <w:between w:val="nil"/>
        </w:pBdr>
        <w:spacing w:before="240"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Cashflow Projecties (voorbeeld, 5-jaar projectie):</w:t>
      </w:r>
    </w:p>
    <w:tbl>
      <w:tblPr>
        <w:tblStyle w:val="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B16B06" w14:paraId="3F4953CE"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A9E73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Jaar</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17723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Initiële Investering</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853D8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Renovatiekosten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977CC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Bruto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9AB27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Operationele 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BC4BD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B6C9E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Belastingen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6B94D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Cashflow</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3A6BE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Cumulatieve Netto Cashflow</w:t>
            </w:r>
          </w:p>
        </w:tc>
      </w:tr>
      <w:tr w:rsidR="00B16B06" w14:paraId="29891E2E"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20E11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685F1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13C0B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D495B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7FEBD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875B9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D18A7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B9020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90368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r>
      <w:tr w:rsidR="00B16B06" w14:paraId="7B51533B"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57A09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B82DC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BFEC6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DBFF9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€25.000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E9CA5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03DD5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504BB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75B34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6A7D2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-€90.000</w:t>
            </w:r>
          </w:p>
        </w:tc>
      </w:tr>
      <w:tr w:rsidR="00B16B06" w14:paraId="64A0601F"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F2F27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4DD9E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ADAF8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3315C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€27.500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D716F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-€13.750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98A08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€13.750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53279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-€2.750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23CAA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22B5A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-€79.000</w:t>
            </w:r>
          </w:p>
        </w:tc>
      </w:tr>
      <w:tr w:rsidR="00B16B06" w14:paraId="4E2B42A3"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9480E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219FC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FBF70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41926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9B3E3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AF471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46DD3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A0CEE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2F85C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-€67.000</w:t>
            </w:r>
          </w:p>
        </w:tc>
      </w:tr>
      <w:tr w:rsidR="00B16B06" w14:paraId="142F6D8A"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A834E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02DCB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D9F49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88B00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€33.000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D5C35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-€16.500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B4201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€16.500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41299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-€3.300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E5681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€13.200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D6F2D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-€53.800</w:t>
            </w:r>
          </w:p>
        </w:tc>
      </w:tr>
      <w:tr w:rsidR="00B16B06" w14:paraId="30288338"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8A008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431A2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4E2AC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CCA08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€36.000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378C1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-€18.000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067D3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€18.000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FF650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-€3.600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D4801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€14.400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438A9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-€39.400</w:t>
            </w:r>
          </w:p>
        </w:tc>
      </w:tr>
    </w:tbl>
    <w:p w14:paraId="1D3ED662" w14:textId="77777777" w:rsidR="00B16B06" w:rsidRDefault="00C75414">
      <w:pPr>
        <w:pBdr>
          <w:top w:val="nil"/>
          <w:left w:val="nil"/>
          <w:bottom w:val="nil"/>
          <w:right w:val="nil"/>
          <w:between w:val="nil"/>
        </w:pBdr>
        <w:spacing w:before="480" w:after="240" w:line="275" w:lineRule="auto"/>
        <w:rPr>
          <w:rFonts w:ascii="Google Sans Text" w:eastAsia="Google Sans Text" w:hAnsi="Google Sans Text" w:cs="Google Sans Text"/>
          <w:i/>
          <w:color w:val="1B1C1D"/>
          <w:sz w:val="24"/>
          <w:szCs w:val="24"/>
        </w:rPr>
      </w:pPr>
      <w:r>
        <w:rPr>
          <w:rFonts w:ascii="Google Sans Text" w:eastAsia="Google Sans Text" w:hAnsi="Google Sans Text" w:cs="Google Sans Text"/>
          <w:i/>
          <w:color w:val="1B1C1D"/>
          <w:sz w:val="24"/>
          <w:szCs w:val="24"/>
        </w:rPr>
        <w:t xml:space="preserve">Opmerking: Deze tabel is een vereenvoudigde illustratie. De gedetailleerde cashflow projecties in de bijlagen omvatten meer </w:t>
      </w:r>
      <w:proofErr w:type="spellStart"/>
      <w:r>
        <w:rPr>
          <w:rFonts w:ascii="Google Sans Text" w:eastAsia="Google Sans Text" w:hAnsi="Google Sans Text" w:cs="Google Sans Text"/>
          <w:i/>
          <w:color w:val="1B1C1D"/>
          <w:sz w:val="24"/>
          <w:szCs w:val="24"/>
        </w:rPr>
        <w:t>granulariteit</w:t>
      </w:r>
      <w:proofErr w:type="spellEnd"/>
      <w:r>
        <w:rPr>
          <w:rFonts w:ascii="Google Sans Text" w:eastAsia="Google Sans Text" w:hAnsi="Google Sans Text" w:cs="Google Sans Text"/>
          <w:i/>
          <w:color w:val="1B1C1D"/>
          <w:sz w:val="24"/>
          <w:szCs w:val="24"/>
        </w:rPr>
        <w:t xml:space="preserve"> en variaties per scenario, inclusief de impact van waardestijging van het vastgoed bij exit.</w:t>
      </w:r>
    </w:p>
    <w:p w14:paraId="0EB33BAE"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i/>
          <w:color w:val="1B1C1D"/>
          <w:sz w:val="24"/>
          <w:szCs w:val="24"/>
        </w:rPr>
      </w:pPr>
    </w:p>
    <w:p w14:paraId="1F8AC48E" w14:textId="77777777" w:rsidR="00AD0C03" w:rsidRDefault="00AD0C03">
      <w:pPr>
        <w:pBdr>
          <w:top w:val="nil"/>
          <w:left w:val="nil"/>
          <w:bottom w:val="nil"/>
          <w:right w:val="nil"/>
          <w:between w:val="nil"/>
        </w:pBdr>
        <w:spacing w:after="240" w:line="275" w:lineRule="auto"/>
        <w:rPr>
          <w:rFonts w:ascii="Google Sans Text" w:eastAsia="Google Sans Text" w:hAnsi="Google Sans Text" w:cs="Google Sans Text"/>
          <w:i/>
          <w:color w:val="1B1C1D"/>
          <w:sz w:val="24"/>
          <w:szCs w:val="24"/>
        </w:rPr>
      </w:pPr>
    </w:p>
    <w:p w14:paraId="0D054008" w14:textId="77777777" w:rsidR="00B16B06" w:rsidRDefault="00C75414" w:rsidP="00C75414">
      <w:pPr>
        <w:pStyle w:val="Kop3"/>
      </w:pPr>
      <w:bookmarkStart w:id="29" w:name="_Toc204774325"/>
      <w:r>
        <w:lastRenderedPageBreak/>
        <w:t>4.1.7 Lokale Implementatiepartners &amp; Ondersteuning</w:t>
      </w:r>
      <w:bookmarkEnd w:id="29"/>
    </w:p>
    <w:p w14:paraId="1D7620C4"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57D3B8F9"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Voor succesvolle implementatie in </w:t>
      </w:r>
      <w:proofErr w:type="spellStart"/>
      <w:r>
        <w:rPr>
          <w:rFonts w:ascii="Google Sans Text" w:eastAsia="Google Sans Text" w:hAnsi="Google Sans Text" w:cs="Google Sans Text"/>
          <w:color w:val="1B1C1D"/>
          <w:sz w:val="24"/>
          <w:szCs w:val="24"/>
        </w:rPr>
        <w:t>Dumaguete</w:t>
      </w:r>
      <w:proofErr w:type="spellEnd"/>
      <w:r>
        <w:rPr>
          <w:rFonts w:ascii="Google Sans Text" w:eastAsia="Google Sans Text" w:hAnsi="Google Sans Text" w:cs="Google Sans Text"/>
          <w:color w:val="1B1C1D"/>
          <w:sz w:val="24"/>
          <w:szCs w:val="24"/>
        </w:rPr>
        <w:t xml:space="preserve"> is een sterk netwerk van lokale partners essentieel. Typische lokale partijen omvatten:</w:t>
      </w:r>
    </w:p>
    <w:p w14:paraId="706C0404" w14:textId="77777777" w:rsidR="00B16B06" w:rsidRDefault="00C75414" w:rsidP="00BE01A1">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Makelaardij:</w:t>
      </w:r>
      <w:r>
        <w:rPr>
          <w:rFonts w:ascii="Google Sans Text" w:eastAsia="Google Sans Text" w:hAnsi="Google Sans Text" w:cs="Google Sans Text"/>
          <w:color w:val="1B1C1D"/>
          <w:sz w:val="24"/>
          <w:szCs w:val="24"/>
        </w:rPr>
        <w:t xml:space="preserve"> Lokale makelaars met diepgaande kennis van de rurale vastgoedmarkt en toegang tot off-market deals.</w:t>
      </w:r>
    </w:p>
    <w:p w14:paraId="7AE30C4E" w14:textId="77777777" w:rsidR="00B16B06" w:rsidRDefault="00C75414" w:rsidP="00BE01A1">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 Advies:</w:t>
      </w:r>
      <w:r>
        <w:rPr>
          <w:rFonts w:ascii="Google Sans Text" w:eastAsia="Google Sans Text" w:hAnsi="Google Sans Text" w:cs="Google Sans Text"/>
          <w:color w:val="1B1C1D"/>
          <w:sz w:val="24"/>
          <w:szCs w:val="24"/>
        </w:rPr>
        <w:t xml:space="preserve"> Advocaten gespecialiseerd in vastgoedrecht en buitenlandse investeringen in de Filipijnen, cruciaal voor </w:t>
      </w:r>
      <w:proofErr w:type="spellStart"/>
      <w:r>
        <w:rPr>
          <w:rFonts w:ascii="Google Sans Text" w:eastAsia="Google Sans Text" w:hAnsi="Google Sans Text" w:cs="Google Sans Text"/>
          <w:color w:val="1B1C1D"/>
          <w:sz w:val="24"/>
          <w:szCs w:val="24"/>
        </w:rPr>
        <w:t>due</w:t>
      </w:r>
      <w:proofErr w:type="spellEnd"/>
      <w:r>
        <w:rPr>
          <w:rFonts w:ascii="Google Sans Text" w:eastAsia="Google Sans Text" w:hAnsi="Google Sans Text" w:cs="Google Sans Text"/>
          <w:color w:val="1B1C1D"/>
          <w:sz w:val="24"/>
          <w:szCs w:val="24"/>
        </w:rPr>
        <w:t xml:space="preserve"> diligence en eigendomsoverdracht.</w:t>
      </w:r>
    </w:p>
    <w:p w14:paraId="735BFA1A" w14:textId="77777777" w:rsidR="00B16B06" w:rsidRDefault="00C75414" w:rsidP="00BE01A1">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Projectmanagement:</w:t>
      </w:r>
      <w:r>
        <w:rPr>
          <w:rFonts w:ascii="Google Sans Text" w:eastAsia="Google Sans Text" w:hAnsi="Google Sans Text" w:cs="Google Sans Text"/>
          <w:color w:val="1B1C1D"/>
          <w:sz w:val="24"/>
          <w:szCs w:val="24"/>
        </w:rPr>
        <w:t xml:space="preserve"> Lokale aannemers en projectmanagers met ervaring in renovaties van toeristische accommodaties.</w:t>
      </w:r>
    </w:p>
    <w:p w14:paraId="2A96BBB2" w14:textId="77777777" w:rsidR="00B16B06" w:rsidRDefault="00C75414" w:rsidP="00BE01A1">
      <w:pPr>
        <w:numPr>
          <w:ilvl w:val="0"/>
          <w:numId w:val="23"/>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Property Management: Betrouwbare lokale teams voor dagelijks beheer, schoonmaak, onderhoud en gastenservice.</w:t>
      </w:r>
      <w:r>
        <w:rPr>
          <w:color w:val="000000"/>
        </w:rPr>
        <w:br/>
      </w:r>
      <w:r>
        <w:rPr>
          <w:rFonts w:ascii="Google Sans Text" w:eastAsia="Google Sans Text" w:hAnsi="Google Sans Text" w:cs="Google Sans Text"/>
          <w:color w:val="1B1C1D"/>
          <w:sz w:val="24"/>
          <w:szCs w:val="24"/>
        </w:rPr>
        <w:t>"De Gouden Kansen van Nu" heeft een geverifieerd netwerk van deze partners, die zorgvuldig zijn gescreend op betrouwbaarheid, ervaring en naleving van ethische standaarden, om een naadloze operationele uitvoering te garanderen.</w:t>
      </w:r>
    </w:p>
    <w:p w14:paraId="73AB6611"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1177822E" w14:textId="77777777" w:rsidR="00B16B06" w:rsidRDefault="00C75414" w:rsidP="00C75414">
      <w:pPr>
        <w:pStyle w:val="Kop2"/>
      </w:pPr>
      <w:bookmarkStart w:id="30" w:name="_Toc204774326"/>
      <w:r>
        <w:t>4.2 Landelijk Albanië</w:t>
      </w:r>
      <w:bookmarkEnd w:id="30"/>
    </w:p>
    <w:p w14:paraId="30C9D6AF"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4A3DC559" w14:textId="77777777" w:rsidR="00B16B06" w:rsidRDefault="00B16B06" w:rsidP="00C75414">
      <w:pPr>
        <w:pStyle w:val="Kop3"/>
      </w:pPr>
    </w:p>
    <w:p w14:paraId="3EC8D600" w14:textId="77777777" w:rsidR="00B16B06" w:rsidRDefault="00C75414" w:rsidP="00C75414">
      <w:pPr>
        <w:pStyle w:val="Kop3"/>
      </w:pPr>
      <w:bookmarkStart w:id="31" w:name="_Toc204774327"/>
      <w:r>
        <w:t>4.2.1 Historische Context &amp; Huidig Profiel</w:t>
      </w:r>
      <w:bookmarkEnd w:id="31"/>
    </w:p>
    <w:p w14:paraId="39C6A2B4"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45CB207"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Albanië, gelegen in de Balkan, heeft een rijke en complexe geschiedenis, gekenmerkt door Ottomaanse en communistische overheersing. Na de val van het communisme in 1991 heeft het land een transitie doorgemaakt naar een markteconomie en democratie. De demografie van landelijk Albanië kenmerkt zich door een vergrijzende bevolking als gevolg van emigratie van jongeren naar stedelijke gebieden of het buitenland, wat leidt tot een overvloed aan betaalbaar, vaak leegstaand vastgoed. De economische basis in deze gebieden is traditioneel agrarisch, met kleinschalige landbouw en veeteelt. Echter, er is een groeiende focus op de ontwikkeling van ecotoerisme en </w:t>
      </w:r>
      <w:proofErr w:type="spellStart"/>
      <w:r>
        <w:rPr>
          <w:rFonts w:ascii="Google Sans Text" w:eastAsia="Google Sans Text" w:hAnsi="Google Sans Text" w:cs="Google Sans Text"/>
          <w:color w:val="1B1C1D"/>
          <w:sz w:val="24"/>
          <w:szCs w:val="24"/>
        </w:rPr>
        <w:t>agrotourisme</w:t>
      </w:r>
      <w:proofErr w:type="spellEnd"/>
      <w:r>
        <w:rPr>
          <w:rFonts w:ascii="Google Sans Text" w:eastAsia="Google Sans Text" w:hAnsi="Google Sans Text" w:cs="Google Sans Text"/>
          <w:color w:val="1B1C1D"/>
          <w:sz w:val="24"/>
          <w:szCs w:val="24"/>
        </w:rPr>
        <w:t xml:space="preserve">, gesteund door overheidsinitiatieven om de </w:t>
      </w:r>
      <w:r>
        <w:rPr>
          <w:rFonts w:ascii="Google Sans Text" w:eastAsia="Google Sans Text" w:hAnsi="Google Sans Text" w:cs="Google Sans Text"/>
          <w:color w:val="1B1C1D"/>
          <w:sz w:val="24"/>
          <w:szCs w:val="24"/>
        </w:rPr>
        <w:lastRenderedPageBreak/>
        <w:t>plattelandseconomie te diversifiëren.</w:t>
      </w:r>
    </w:p>
    <w:p w14:paraId="432679D4"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361C9834" w14:textId="77777777" w:rsidR="00B16B06" w:rsidRDefault="00C75414" w:rsidP="00C75414">
      <w:pPr>
        <w:pStyle w:val="Kop3"/>
      </w:pPr>
      <w:bookmarkStart w:id="32" w:name="_Toc204774328"/>
      <w:r>
        <w:t>4.2.2 Toeristische Groeimarkers &amp; Potentieel</w:t>
      </w:r>
      <w:bookmarkEnd w:id="32"/>
    </w:p>
    <w:p w14:paraId="0207C2BC"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7EC6507A"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Albanië heeft de afgelopen vijf jaar een indrukwekkende groei in toeristische aankomsten gekend, met jaarlijkse percentages die ver boven het Europese gemiddelde liggen. Vooral na de pandemie heeft Albanië zich gepositioneerd als een aantrekkelijk, betaalbaar en relatief onontdekt alternatief voor de overvolle mediterrane bestemmingen. De groei in landelijke gebieden volgt deze trend, zij het met een vertraging.</w:t>
      </w:r>
    </w:p>
    <w:p w14:paraId="190A62A5" w14:textId="77777777" w:rsidR="00B16B06" w:rsidRDefault="00C75414" w:rsidP="00BE01A1">
      <w:pPr>
        <w:numPr>
          <w:ilvl w:val="0"/>
          <w:numId w:val="2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Type Toerist:</w:t>
      </w:r>
      <w:r>
        <w:rPr>
          <w:rFonts w:ascii="Google Sans Text" w:eastAsia="Google Sans Text" w:hAnsi="Google Sans Text" w:cs="Google Sans Text"/>
          <w:color w:val="1B1C1D"/>
          <w:sz w:val="24"/>
          <w:szCs w:val="24"/>
        </w:rPr>
        <w:t xml:space="preserve"> Een mix van avontuurlijke reizigers, cultuurliefhebbers, en toeristen die op zoek zijn naar authentieke ervaringen en ongerepte natuur. Er is een groeiende interesse vanuit West-Europa, de Balkan en de VS.</w:t>
      </w:r>
    </w:p>
    <w:p w14:paraId="3E7703F9" w14:textId="77777777" w:rsidR="00B16B06" w:rsidRDefault="00C75414" w:rsidP="00BE01A1">
      <w:pPr>
        <w:numPr>
          <w:ilvl w:val="0"/>
          <w:numId w:val="24"/>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Groeivoorspellingen:</w:t>
      </w:r>
      <w:r>
        <w:rPr>
          <w:rFonts w:ascii="Google Sans Text" w:eastAsia="Google Sans Text" w:hAnsi="Google Sans Text" w:cs="Google Sans Text"/>
          <w:color w:val="1B1C1D"/>
          <w:sz w:val="24"/>
          <w:szCs w:val="24"/>
        </w:rPr>
        <w:t xml:space="preserve"> De vooruitzichten zijn zeer positief, ondersteund door de toetredingsonderhandelingen met de EU, wat het vertrouwen in de stabiliteit en verdere ontwikkeling van het land vergroot.</w:t>
      </w:r>
    </w:p>
    <w:p w14:paraId="76E02B7D"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Unieke Verkoopargumenten (USP's):</w:t>
      </w:r>
    </w:p>
    <w:p w14:paraId="10F157EB" w14:textId="77777777" w:rsidR="00B16B06" w:rsidRDefault="00C75414" w:rsidP="00BE01A1">
      <w:pPr>
        <w:numPr>
          <w:ilvl w:val="0"/>
          <w:numId w:val="2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Ongerepte Natuur:</w:t>
      </w:r>
      <w:r>
        <w:rPr>
          <w:rFonts w:ascii="Google Sans Text" w:eastAsia="Google Sans Text" w:hAnsi="Google Sans Text" w:cs="Google Sans Text"/>
          <w:color w:val="1B1C1D"/>
          <w:sz w:val="24"/>
          <w:szCs w:val="24"/>
        </w:rPr>
        <w:t xml:space="preserve"> Adembenemende berglandschappen (Albanese Alpen), kristalheldere rivieren, en een nog grotendeels ongerepte kustlijn.</w:t>
      </w:r>
    </w:p>
    <w:p w14:paraId="15C68F71" w14:textId="77777777" w:rsidR="00B16B06" w:rsidRDefault="00C75414" w:rsidP="00BE01A1">
      <w:pPr>
        <w:numPr>
          <w:ilvl w:val="0"/>
          <w:numId w:val="2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Rijke Geschiedenis &amp; Cultuur:</w:t>
      </w:r>
      <w:r>
        <w:rPr>
          <w:rFonts w:ascii="Google Sans Text" w:eastAsia="Google Sans Text" w:hAnsi="Google Sans Text" w:cs="Google Sans Text"/>
          <w:color w:val="1B1C1D"/>
          <w:sz w:val="24"/>
          <w:szCs w:val="24"/>
        </w:rPr>
        <w:t xml:space="preserve"> Oude steden (</w:t>
      </w:r>
      <w:proofErr w:type="spellStart"/>
      <w:r>
        <w:rPr>
          <w:rFonts w:ascii="Google Sans Text" w:eastAsia="Google Sans Text" w:hAnsi="Google Sans Text" w:cs="Google Sans Text"/>
          <w:color w:val="1B1C1D"/>
          <w:sz w:val="24"/>
          <w:szCs w:val="24"/>
        </w:rPr>
        <w:t>Gjirokastër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Berat</w:t>
      </w:r>
      <w:proofErr w:type="spellEnd"/>
      <w:r>
        <w:rPr>
          <w:rFonts w:ascii="Google Sans Text" w:eastAsia="Google Sans Text" w:hAnsi="Google Sans Text" w:cs="Google Sans Text"/>
          <w:color w:val="1B1C1D"/>
          <w:sz w:val="24"/>
          <w:szCs w:val="24"/>
        </w:rPr>
        <w:t>, UNESCO Werelderfgoed), Romeinse ruïnes, en een unieke mix van culturele invloeden.</w:t>
      </w:r>
    </w:p>
    <w:p w14:paraId="7D7996F2" w14:textId="77777777" w:rsidR="00B16B06" w:rsidRDefault="00C75414" w:rsidP="00BE01A1">
      <w:pPr>
        <w:numPr>
          <w:ilvl w:val="0"/>
          <w:numId w:val="2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Betaalbaarheid:</w:t>
      </w:r>
      <w:r>
        <w:rPr>
          <w:rFonts w:ascii="Google Sans Text" w:eastAsia="Google Sans Text" w:hAnsi="Google Sans Text" w:cs="Google Sans Text"/>
          <w:color w:val="1B1C1D"/>
          <w:sz w:val="24"/>
          <w:szCs w:val="24"/>
        </w:rPr>
        <w:t xml:space="preserve"> Een van de meest betaalbare reisbestemmingen in Europa, zowel qua levensonderhoud als vastgoed.</w:t>
      </w:r>
    </w:p>
    <w:p w14:paraId="3CA0CB42" w14:textId="77777777" w:rsidR="00B16B06" w:rsidRDefault="00C75414" w:rsidP="00BE01A1">
      <w:pPr>
        <w:numPr>
          <w:ilvl w:val="0"/>
          <w:numId w:val="2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Gastvrijheid:</w:t>
      </w:r>
      <w:r>
        <w:rPr>
          <w:rFonts w:ascii="Google Sans Text" w:eastAsia="Google Sans Text" w:hAnsi="Google Sans Text" w:cs="Google Sans Text"/>
          <w:color w:val="1B1C1D"/>
          <w:sz w:val="24"/>
          <w:szCs w:val="24"/>
        </w:rPr>
        <w:t xml:space="preserve"> De Albanese bevolking staat bekend om haar gastvrijheid en vriendelijkheid tegenover bezoekers.</w:t>
      </w:r>
    </w:p>
    <w:p w14:paraId="7FA27ADD"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Huidige Toeristische Druk &amp; Capaciteit:</w:t>
      </w:r>
    </w:p>
    <w:p w14:paraId="175072F7"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toeristische druk in de landelijke gebieden is nog zeer laag, in schril contrast met de relatief drukke kustgebieden. De infrastructuur voor accommodatie is in veel landelijke gebieden nog rudimentair, wat een aanzienlijk potentieel biedt voor de ontwikkeling van kleinschalige, kwalitatieve toeristische projecten. De focus ligt op het creëren van duurzame capaciteit die de lokale cultuur en natuur respecteert.</w:t>
      </w:r>
    </w:p>
    <w:p w14:paraId="045718D1"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rPr>
      </w:pPr>
    </w:p>
    <w:p w14:paraId="1C5FCE6A" w14:textId="77777777" w:rsidR="00B16B06" w:rsidRDefault="00C75414" w:rsidP="00C75414">
      <w:pPr>
        <w:pStyle w:val="Kop3"/>
      </w:pPr>
      <w:bookmarkStart w:id="33" w:name="_Toc204774329"/>
      <w:r>
        <w:lastRenderedPageBreak/>
        <w:t>4.2.3 Vastgoedmarkt Analyse &amp; Investeringslandschap</w:t>
      </w:r>
      <w:bookmarkEnd w:id="33"/>
    </w:p>
    <w:p w14:paraId="227E6CBC"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71E32EC"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Prijsanalyse:</w:t>
      </w:r>
    </w:p>
    <w:p w14:paraId="0C9484A5"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vastgoedmarkt in landelijk Albanië is extreem ondergewaardeerd, met prijzen die significant lager liggen dan in de rest van Europa. Voor typen panden die aan de criteria voldoen (oude dorpshuizen, agrarische grond, historische gebouwen die renovatie behoeven), liggen de prijzen vaak tussen €200 - €600 per m². Dit maakt investeringen van onder de €60.000 zeer haalbaar. Ter vergelijking, in Tirana of de populaire kustplaatsen kunnen prijzen oplopen tot €1.000 - €2.000 per m². Deze grote discrepantie benadrukt het potentieel in de landelijke gebieden.</w:t>
      </w:r>
    </w:p>
    <w:p w14:paraId="38B1598D"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Renovatiepotentieel &amp; Kosten:</w:t>
      </w:r>
    </w:p>
    <w:p w14:paraId="06C54520"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Er is een overvloed aan leegstaand of verwaarloosd vastgoed in landelijke dorpen, vaak met karakteristieke architectuur die zich goed leent voor renovatie.</w:t>
      </w:r>
    </w:p>
    <w:p w14:paraId="58F99A5D" w14:textId="77777777" w:rsidR="00B16B06" w:rsidRDefault="00C75414" w:rsidP="00BE01A1">
      <w:pPr>
        <w:numPr>
          <w:ilvl w:val="0"/>
          <w:numId w:val="2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Basisrenovatie:</w:t>
      </w:r>
      <w:r>
        <w:rPr>
          <w:rFonts w:ascii="Google Sans Text" w:eastAsia="Google Sans Text" w:hAnsi="Google Sans Text" w:cs="Google Sans Text"/>
          <w:color w:val="1B1C1D"/>
          <w:sz w:val="24"/>
          <w:szCs w:val="24"/>
        </w:rPr>
        <w:t xml:space="preserve"> €250-€400 per m².</w:t>
      </w:r>
    </w:p>
    <w:p w14:paraId="7AA3D565" w14:textId="77777777" w:rsidR="00B16B06" w:rsidRDefault="00C75414" w:rsidP="00BE01A1">
      <w:pPr>
        <w:numPr>
          <w:ilvl w:val="0"/>
          <w:numId w:val="26"/>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Middenwaardige</w:t>
      </w:r>
      <w:proofErr w:type="spellEnd"/>
      <w:r>
        <w:rPr>
          <w:rFonts w:ascii="Google Sans Text" w:eastAsia="Google Sans Text" w:hAnsi="Google Sans Text" w:cs="Google Sans Text"/>
          <w:b/>
          <w:color w:val="1B1C1D"/>
          <w:sz w:val="24"/>
          <w:szCs w:val="24"/>
        </w:rPr>
        <w:t xml:space="preserve"> renovatie:</w:t>
      </w:r>
      <w:r>
        <w:rPr>
          <w:rFonts w:ascii="Google Sans Text" w:eastAsia="Google Sans Text" w:hAnsi="Google Sans Text" w:cs="Google Sans Text"/>
          <w:color w:val="1B1C1D"/>
          <w:sz w:val="24"/>
          <w:szCs w:val="24"/>
        </w:rPr>
        <w:t xml:space="preserve"> €400-€650 per m².</w:t>
      </w:r>
    </w:p>
    <w:p w14:paraId="7A3E8E4E" w14:textId="77777777" w:rsidR="00B16B06" w:rsidRDefault="00C75414" w:rsidP="00BE01A1">
      <w:pPr>
        <w:numPr>
          <w:ilvl w:val="0"/>
          <w:numId w:val="26"/>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Hoogwaardige renovatie: €650-€900+ per m².</w:t>
      </w:r>
      <w:r>
        <w:rPr>
          <w:color w:val="000000"/>
        </w:rPr>
        <w:br/>
      </w:r>
      <w:r>
        <w:rPr>
          <w:rFonts w:ascii="Google Sans Text" w:eastAsia="Google Sans Text" w:hAnsi="Google Sans Text" w:cs="Google Sans Text"/>
          <w:color w:val="1B1C1D"/>
          <w:sz w:val="24"/>
          <w:szCs w:val="24"/>
        </w:rPr>
        <w:t>Verwachte Kostenposten: Arbeidskosten zijn zeer competitief in Albanië. Materiaalkosten zijn redelijk, met een mix van lokaal geproduceerde en geïmporteerde goederen. Vergunningsprocessen kunnen bureaucratisch zijn, maar zijn beheersbaar met lokale expertise.</w:t>
      </w:r>
    </w:p>
    <w:p w14:paraId="4CE64809"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Marktliquiditeit:</w:t>
      </w:r>
    </w:p>
    <w:p w14:paraId="39666B4B"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liquiditeit in de landelijke Albanese vastgoedmarkt is nog relatief laag, maar neemt toe.</w:t>
      </w:r>
    </w:p>
    <w:p w14:paraId="292EF6E9" w14:textId="77777777" w:rsidR="00B16B06" w:rsidRDefault="00C75414" w:rsidP="00BE01A1">
      <w:pPr>
        <w:numPr>
          <w:ilvl w:val="0"/>
          <w:numId w:val="27"/>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Kopersvraag</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De vraag komt voornamelijk van de Albanese diaspora, maar ook van een groeiend aantal buitenlandse investeerders die de potentie van het land ontdekken.</w:t>
      </w:r>
    </w:p>
    <w:p w14:paraId="09C31A3F" w14:textId="77777777" w:rsidR="00B16B06" w:rsidRDefault="00C75414" w:rsidP="00BE01A1">
      <w:pPr>
        <w:numPr>
          <w:ilvl w:val="0"/>
          <w:numId w:val="2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Aanbod:</w:t>
      </w:r>
      <w:r>
        <w:rPr>
          <w:rFonts w:ascii="Google Sans Text" w:eastAsia="Google Sans Text" w:hAnsi="Google Sans Text" w:cs="Google Sans Text"/>
          <w:color w:val="1B1C1D"/>
          <w:sz w:val="24"/>
          <w:szCs w:val="24"/>
        </w:rPr>
        <w:t xml:space="preserve"> Een groot aanbod van vastgoed, vaak van eigenaren die geëmigreerd zijn of geen middelen hebben voor onderhoud.</w:t>
      </w:r>
    </w:p>
    <w:p w14:paraId="1CD28EF2" w14:textId="77777777" w:rsidR="00B16B06" w:rsidRDefault="00C75414" w:rsidP="00BE01A1">
      <w:pPr>
        <w:numPr>
          <w:ilvl w:val="0"/>
          <w:numId w:val="2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Juridische Processen:</w:t>
      </w:r>
      <w:r>
        <w:rPr>
          <w:rFonts w:ascii="Google Sans Text" w:eastAsia="Google Sans Text" w:hAnsi="Google Sans Text" w:cs="Google Sans Text"/>
          <w:color w:val="1B1C1D"/>
          <w:sz w:val="24"/>
          <w:szCs w:val="24"/>
        </w:rPr>
        <w:t xml:space="preserve"> Het eigendomsoverdrachtsproces is verbeterd en gestroomlijnd in de afgelopen jaren, maar vereist nog steeds zorgvuldige juridische begeleiding om eigendomstitels te verifiëren.</w:t>
      </w:r>
    </w:p>
    <w:p w14:paraId="54C2AC42" w14:textId="77777777" w:rsidR="00B16B06" w:rsidRDefault="00C75414" w:rsidP="00BE01A1">
      <w:pPr>
        <w:numPr>
          <w:ilvl w:val="0"/>
          <w:numId w:val="27"/>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Toegang tot Financiering:</w:t>
      </w:r>
      <w:r>
        <w:rPr>
          <w:rFonts w:ascii="Google Sans Text" w:eastAsia="Google Sans Text" w:hAnsi="Google Sans Text" w:cs="Google Sans Text"/>
          <w:color w:val="1B1C1D"/>
          <w:sz w:val="24"/>
          <w:szCs w:val="24"/>
        </w:rPr>
        <w:t xml:space="preserve"> Lokale banken zijn terughoudend met financiering voor buitenlanders, waardoor cash-aankopen de norm zijn. Dit houdt de prijzen laag voor internationale investeerders. De liquiditeit wordt als voldoende beschouwd voor een langetermijnstrategie, met een verwachting van toenemende liquiditeit naarmate de toeristische sector zich verder ontwikkelt.</w:t>
      </w:r>
    </w:p>
    <w:p w14:paraId="4B5751B8"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6882445C" w14:textId="77777777" w:rsidR="00C75414" w:rsidRDefault="00C75414">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6FE6CF57" w14:textId="77777777" w:rsidR="00B16B06" w:rsidRDefault="00C75414" w:rsidP="00C75414">
      <w:pPr>
        <w:pStyle w:val="Kop3"/>
      </w:pPr>
      <w:bookmarkStart w:id="34" w:name="_Toc204774330"/>
      <w:r>
        <w:t>4.2.4 Infrastructuur &amp; Bereikbaarheid</w:t>
      </w:r>
      <w:bookmarkEnd w:id="34"/>
    </w:p>
    <w:p w14:paraId="04AD3219"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367955E"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Huidige Status:</w:t>
      </w:r>
    </w:p>
    <w:p w14:paraId="37D9F80A"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infrastructuur in landelijk Albanië is in ontwikkeling.</w:t>
      </w:r>
    </w:p>
    <w:p w14:paraId="400D56A6" w14:textId="77777777" w:rsidR="00B16B06" w:rsidRDefault="00C75414" w:rsidP="00BE01A1">
      <w:pPr>
        <w:numPr>
          <w:ilvl w:val="0"/>
          <w:numId w:val="2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Luchthavens:</w:t>
      </w:r>
      <w:r>
        <w:rPr>
          <w:rFonts w:ascii="Google Sans Text" w:eastAsia="Google Sans Text" w:hAnsi="Google Sans Text" w:cs="Google Sans Text"/>
          <w:color w:val="1B1C1D"/>
          <w:sz w:val="24"/>
          <w:szCs w:val="24"/>
        </w:rPr>
        <w:t xml:space="preserve"> De internationale luchthaven van Tirana (TIA) is de belangrijkste toegangspoort. Er zijn ook kleinere luchthavens in </w:t>
      </w:r>
      <w:proofErr w:type="spellStart"/>
      <w:r>
        <w:rPr>
          <w:rFonts w:ascii="Google Sans Text" w:eastAsia="Google Sans Text" w:hAnsi="Google Sans Text" w:cs="Google Sans Text"/>
          <w:color w:val="1B1C1D"/>
          <w:sz w:val="24"/>
          <w:szCs w:val="24"/>
        </w:rPr>
        <w:t>Kukës</w:t>
      </w:r>
      <w:proofErr w:type="spellEnd"/>
      <w:r>
        <w:rPr>
          <w:rFonts w:ascii="Google Sans Text" w:eastAsia="Google Sans Text" w:hAnsi="Google Sans Text" w:cs="Google Sans Text"/>
          <w:color w:val="1B1C1D"/>
          <w:sz w:val="24"/>
          <w:szCs w:val="24"/>
        </w:rPr>
        <w:t xml:space="preserve"> en </w:t>
      </w:r>
      <w:proofErr w:type="spellStart"/>
      <w:r>
        <w:rPr>
          <w:rFonts w:ascii="Google Sans Text" w:eastAsia="Google Sans Text" w:hAnsi="Google Sans Text" w:cs="Google Sans Text"/>
          <w:color w:val="1B1C1D"/>
          <w:sz w:val="24"/>
          <w:szCs w:val="24"/>
        </w:rPr>
        <w:t>Vlorë</w:t>
      </w:r>
      <w:proofErr w:type="spellEnd"/>
      <w:r>
        <w:rPr>
          <w:rFonts w:ascii="Google Sans Text" w:eastAsia="Google Sans Text" w:hAnsi="Google Sans Text" w:cs="Google Sans Text"/>
          <w:color w:val="1B1C1D"/>
          <w:sz w:val="24"/>
          <w:szCs w:val="24"/>
        </w:rPr>
        <w:t xml:space="preserve"> (in ontwikkeling).</w:t>
      </w:r>
    </w:p>
    <w:p w14:paraId="5AC1EEED" w14:textId="77777777" w:rsidR="00B16B06" w:rsidRDefault="00C75414" w:rsidP="00BE01A1">
      <w:pPr>
        <w:numPr>
          <w:ilvl w:val="0"/>
          <w:numId w:val="2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w:t>
      </w:r>
      <w:r>
        <w:rPr>
          <w:rFonts w:ascii="Google Sans Text" w:eastAsia="Google Sans Text" w:hAnsi="Google Sans Text" w:cs="Google Sans Text"/>
          <w:color w:val="1B1C1D"/>
          <w:sz w:val="24"/>
          <w:szCs w:val="24"/>
        </w:rPr>
        <w:t xml:space="preserve"> Het hoofdwegennetwerk is de afgelopen jaren aanzienlijk verbeterd, met nieuwe snelwegen die belangrijke steden verbinden. In landelijke gebieden kunnen wegen nog onverhard zijn, maar zijn over het algemeen begaanbaar.</w:t>
      </w:r>
    </w:p>
    <w:p w14:paraId="5CF7E505" w14:textId="77777777" w:rsidR="00B16B06" w:rsidRDefault="00C75414" w:rsidP="00BE01A1">
      <w:pPr>
        <w:numPr>
          <w:ilvl w:val="0"/>
          <w:numId w:val="28"/>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Digitale Infrastructuur:</w:t>
      </w:r>
      <w:r>
        <w:rPr>
          <w:rFonts w:ascii="Google Sans Text" w:eastAsia="Google Sans Text" w:hAnsi="Google Sans Text" w:cs="Google Sans Text"/>
          <w:color w:val="1B1C1D"/>
          <w:sz w:val="24"/>
          <w:szCs w:val="24"/>
        </w:rPr>
        <w:t xml:space="preserve"> Mobiele dekking is wijdverspreid, en internettoegang (vaak 4G/LTE) is beschikbaar in de meeste bewoonde gebieden. Glasvezel wordt uitgerold in grotere dorpen.</w:t>
      </w:r>
    </w:p>
    <w:p w14:paraId="2D19D260"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Ontwikkelingen:</w:t>
      </w:r>
    </w:p>
    <w:p w14:paraId="52A87362"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Albanese overheid investeert zwaar in infrastructuur.</w:t>
      </w:r>
    </w:p>
    <w:p w14:paraId="235F4D85" w14:textId="77777777" w:rsidR="00B16B06" w:rsidRDefault="00C75414" w:rsidP="00BE01A1">
      <w:pPr>
        <w:numPr>
          <w:ilvl w:val="0"/>
          <w:numId w:val="2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Wegenprojecten:</w:t>
      </w:r>
      <w:r>
        <w:rPr>
          <w:rFonts w:ascii="Google Sans Text" w:eastAsia="Google Sans Text" w:hAnsi="Google Sans Text" w:cs="Google Sans Text"/>
          <w:color w:val="1B1C1D"/>
          <w:sz w:val="24"/>
          <w:szCs w:val="24"/>
        </w:rPr>
        <w:t xml:space="preserve"> Verdere uitbreiding en verbetering van het wegennetwerk, inclusief toegang tot toeristische gebieden.</w:t>
      </w:r>
    </w:p>
    <w:p w14:paraId="1A2DB5C5" w14:textId="77777777" w:rsidR="00B16B06" w:rsidRDefault="00C75414" w:rsidP="00BE01A1">
      <w:pPr>
        <w:numPr>
          <w:ilvl w:val="0"/>
          <w:numId w:val="2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Luchthaven </w:t>
      </w:r>
      <w:proofErr w:type="spellStart"/>
      <w:r>
        <w:rPr>
          <w:rFonts w:ascii="Google Sans Text" w:eastAsia="Google Sans Text" w:hAnsi="Google Sans Text" w:cs="Google Sans Text"/>
          <w:b/>
          <w:color w:val="1B1C1D"/>
          <w:sz w:val="24"/>
          <w:szCs w:val="24"/>
        </w:rPr>
        <w:t>Vlorë</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De ontwikkeling van een nieuwe internationale luchthaven bij </w:t>
      </w:r>
      <w:proofErr w:type="spellStart"/>
      <w:r>
        <w:rPr>
          <w:rFonts w:ascii="Google Sans Text" w:eastAsia="Google Sans Text" w:hAnsi="Google Sans Text" w:cs="Google Sans Text"/>
          <w:color w:val="1B1C1D"/>
          <w:sz w:val="24"/>
          <w:szCs w:val="24"/>
        </w:rPr>
        <w:t>Vlorë</w:t>
      </w:r>
      <w:proofErr w:type="spellEnd"/>
      <w:r>
        <w:rPr>
          <w:rFonts w:ascii="Google Sans Text" w:eastAsia="Google Sans Text" w:hAnsi="Google Sans Text" w:cs="Google Sans Text"/>
          <w:color w:val="1B1C1D"/>
          <w:sz w:val="24"/>
          <w:szCs w:val="24"/>
        </w:rPr>
        <w:t xml:space="preserve"> zal de toegang tot het zuiden van Albanië en de landelijke gebieden daar aanzienlijk verbeteren.</w:t>
      </w:r>
    </w:p>
    <w:p w14:paraId="66A300DC" w14:textId="77777777" w:rsidR="00B16B06" w:rsidRDefault="00C75414" w:rsidP="00BE01A1">
      <w:pPr>
        <w:numPr>
          <w:ilvl w:val="0"/>
          <w:numId w:val="29"/>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Digitale Connectiviteit:</w:t>
      </w:r>
      <w:r>
        <w:rPr>
          <w:rFonts w:ascii="Google Sans Text" w:eastAsia="Google Sans Text" w:hAnsi="Google Sans Text" w:cs="Google Sans Text"/>
          <w:color w:val="1B1C1D"/>
          <w:sz w:val="24"/>
          <w:szCs w:val="24"/>
        </w:rPr>
        <w:t xml:space="preserve"> Voortdurende investeringen in breedbandinternet en 5G-netwerken om de connectiviteit in het hele land te verbeteren, cruciaal voor digitale nomaden en toeristische bedrijven.</w:t>
      </w:r>
    </w:p>
    <w:p w14:paraId="1664DDE7" w14:textId="77777777" w:rsidR="00B16B06" w:rsidRDefault="00B16B06" w:rsidP="00C75414">
      <w:pPr>
        <w:pStyle w:val="Kop3"/>
      </w:pPr>
    </w:p>
    <w:p w14:paraId="36A1A290" w14:textId="77777777" w:rsidR="00B16B06" w:rsidRDefault="00C75414" w:rsidP="00C75414">
      <w:pPr>
        <w:pStyle w:val="Kop3"/>
        <w:rPr>
          <w:rFonts w:ascii="Google Sans" w:eastAsia="Google Sans" w:hAnsi="Google Sans" w:cs="Google Sans"/>
        </w:rPr>
      </w:pPr>
      <w:bookmarkStart w:id="35" w:name="_Toc204774331"/>
      <w:r>
        <w:rPr>
          <w:rFonts w:ascii="Google Sans" w:eastAsia="Google Sans" w:hAnsi="Google Sans" w:cs="Google Sans"/>
        </w:rPr>
        <w:t>4.2.5 Juridisch, Fiscale &amp; Overheidsbeleid</w:t>
      </w:r>
      <w:bookmarkEnd w:id="35"/>
    </w:p>
    <w:p w14:paraId="71E63844"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28096D42"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Buitenlands Eigendom:</w:t>
      </w:r>
    </w:p>
    <w:p w14:paraId="0CB14DD4"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Albanië heeft een relatief gunstig juridisch kader voor buitenlands vastgoedeigendom.</w:t>
      </w:r>
    </w:p>
    <w:p w14:paraId="0903711F" w14:textId="77777777" w:rsidR="00B16B06" w:rsidRDefault="00C75414" w:rsidP="00BE01A1">
      <w:pPr>
        <w:numPr>
          <w:ilvl w:val="0"/>
          <w:numId w:val="3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Direct Eigendom:</w:t>
      </w:r>
      <w:r>
        <w:rPr>
          <w:rFonts w:ascii="Google Sans Text" w:eastAsia="Google Sans Text" w:hAnsi="Google Sans Text" w:cs="Google Sans Text"/>
          <w:color w:val="1B1C1D"/>
          <w:sz w:val="24"/>
          <w:szCs w:val="24"/>
        </w:rPr>
        <w:t xml:space="preserve"> Buitenlanders kunnen in principe direct eigendom verwerven van vastgoed in Albanië, inclusief grond. Er zijn echter enkele beperkingen voor landbouwgrond en strategische gebieden, waarvoor speciale vergunningen of </w:t>
      </w:r>
      <w:r>
        <w:rPr>
          <w:rFonts w:ascii="Google Sans Text" w:eastAsia="Google Sans Text" w:hAnsi="Google Sans Text" w:cs="Google Sans Text"/>
          <w:color w:val="1B1C1D"/>
          <w:sz w:val="24"/>
          <w:szCs w:val="24"/>
        </w:rPr>
        <w:lastRenderedPageBreak/>
        <w:t>bedrijfsstructuren nodig kunnen zijn.</w:t>
      </w:r>
    </w:p>
    <w:p w14:paraId="64176117" w14:textId="77777777" w:rsidR="00B16B06" w:rsidRDefault="00C75414" w:rsidP="00BE01A1">
      <w:pPr>
        <w:numPr>
          <w:ilvl w:val="0"/>
          <w:numId w:val="30"/>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Proces van Eigendomsoverdracht:</w:t>
      </w:r>
      <w:r>
        <w:rPr>
          <w:rFonts w:ascii="Google Sans Text" w:eastAsia="Google Sans Text" w:hAnsi="Google Sans Text" w:cs="Google Sans Text"/>
          <w:color w:val="1B1C1D"/>
          <w:sz w:val="24"/>
          <w:szCs w:val="24"/>
        </w:rPr>
        <w:t xml:space="preserve"> Het proces omvat een notariële koopovereenkomst, registratie bij het kadaster en betaling van belastingen. Het is raadzaam om een lokale advocaat in te schakelen voor </w:t>
      </w:r>
      <w:proofErr w:type="spellStart"/>
      <w:r>
        <w:rPr>
          <w:rFonts w:ascii="Google Sans Text" w:eastAsia="Google Sans Text" w:hAnsi="Google Sans Text" w:cs="Google Sans Text"/>
          <w:color w:val="1B1C1D"/>
          <w:sz w:val="24"/>
          <w:szCs w:val="24"/>
        </w:rPr>
        <w:t>due</w:t>
      </w:r>
      <w:proofErr w:type="spellEnd"/>
      <w:r>
        <w:rPr>
          <w:rFonts w:ascii="Google Sans Text" w:eastAsia="Google Sans Text" w:hAnsi="Google Sans Text" w:cs="Google Sans Text"/>
          <w:color w:val="1B1C1D"/>
          <w:sz w:val="24"/>
          <w:szCs w:val="24"/>
        </w:rPr>
        <w:t xml:space="preserve"> diligence en begeleiding.</w:t>
      </w:r>
    </w:p>
    <w:p w14:paraId="6FF49D59"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Belastingregime:</w:t>
      </w:r>
    </w:p>
    <w:p w14:paraId="1645520D" w14:textId="77777777" w:rsidR="00B16B06" w:rsidRDefault="00C75414" w:rsidP="00BE01A1">
      <w:pPr>
        <w:numPr>
          <w:ilvl w:val="0"/>
          <w:numId w:val="3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Aankoopbelasting:</w:t>
      </w:r>
      <w:r>
        <w:rPr>
          <w:rFonts w:ascii="Google Sans Text" w:eastAsia="Google Sans Text" w:hAnsi="Google Sans Text" w:cs="Google Sans Text"/>
          <w:color w:val="1B1C1D"/>
          <w:sz w:val="24"/>
          <w:szCs w:val="24"/>
        </w:rPr>
        <w:t xml:space="preserve"> Een overdrachtsbelasting van 0,5% van de verkoopprijs of de kadastrale waarde, afhankelijk van welke hoger is.</w:t>
      </w:r>
    </w:p>
    <w:p w14:paraId="7C6973CB" w14:textId="77777777" w:rsidR="00B16B06" w:rsidRDefault="00C75414" w:rsidP="00BE01A1">
      <w:pPr>
        <w:numPr>
          <w:ilvl w:val="0"/>
          <w:numId w:val="3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Jaarlijkse Onroerendezaakbelasting:</w:t>
      </w:r>
      <w:r>
        <w:rPr>
          <w:rFonts w:ascii="Google Sans Text" w:eastAsia="Google Sans Text" w:hAnsi="Google Sans Text" w:cs="Google Sans Text"/>
          <w:color w:val="1B1C1D"/>
          <w:sz w:val="24"/>
          <w:szCs w:val="24"/>
        </w:rPr>
        <w:t xml:space="preserve"> Zeer laag, gebaseerd op de oppervlakte van het pand en de locatie.</w:t>
      </w:r>
    </w:p>
    <w:p w14:paraId="748C1FFD" w14:textId="77777777" w:rsidR="00B16B06" w:rsidRDefault="00C75414" w:rsidP="00BE01A1">
      <w:pPr>
        <w:numPr>
          <w:ilvl w:val="0"/>
          <w:numId w:val="3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Inkomstenbelasting op Huurinkomsten:</w:t>
      </w:r>
      <w:r>
        <w:rPr>
          <w:rFonts w:ascii="Google Sans Text" w:eastAsia="Google Sans Text" w:hAnsi="Google Sans Text" w:cs="Google Sans Text"/>
          <w:color w:val="1B1C1D"/>
          <w:sz w:val="24"/>
          <w:szCs w:val="24"/>
        </w:rPr>
        <w:t xml:space="preserve"> Huurinkomsten zijn </w:t>
      </w:r>
      <w:proofErr w:type="spellStart"/>
      <w:r>
        <w:rPr>
          <w:rFonts w:ascii="Google Sans Text" w:eastAsia="Google Sans Text" w:hAnsi="Google Sans Text" w:cs="Google Sans Text"/>
          <w:color w:val="1B1C1D"/>
          <w:sz w:val="24"/>
          <w:szCs w:val="24"/>
        </w:rPr>
        <w:t>onderworbpen</w:t>
      </w:r>
      <w:proofErr w:type="spellEnd"/>
      <w:r>
        <w:rPr>
          <w:rFonts w:ascii="Google Sans Text" w:eastAsia="Google Sans Text" w:hAnsi="Google Sans Text" w:cs="Google Sans Text"/>
          <w:color w:val="1B1C1D"/>
          <w:sz w:val="24"/>
          <w:szCs w:val="24"/>
        </w:rPr>
        <w:t xml:space="preserve"> aan een vast tarief van 15%.</w:t>
      </w:r>
    </w:p>
    <w:p w14:paraId="3EB426D2" w14:textId="77777777" w:rsidR="00B16B06" w:rsidRDefault="00C75414" w:rsidP="00BE01A1">
      <w:pPr>
        <w:numPr>
          <w:ilvl w:val="0"/>
          <w:numId w:val="3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Kapitaalwinstbelasting:</w:t>
      </w:r>
      <w:r>
        <w:rPr>
          <w:rFonts w:ascii="Google Sans Text" w:eastAsia="Google Sans Text" w:hAnsi="Google Sans Text" w:cs="Google Sans Text"/>
          <w:color w:val="1B1C1D"/>
          <w:sz w:val="24"/>
          <w:szCs w:val="24"/>
        </w:rPr>
        <w:t xml:space="preserve"> Een vast tarief van 15% op de winst bij verkoop van vastgoed.</w:t>
      </w:r>
    </w:p>
    <w:p w14:paraId="20420E26" w14:textId="77777777" w:rsidR="00B16B06" w:rsidRDefault="00C75414" w:rsidP="00BE01A1">
      <w:pPr>
        <w:numPr>
          <w:ilvl w:val="0"/>
          <w:numId w:val="3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Belastingvoordelen:</w:t>
      </w:r>
      <w:r>
        <w:rPr>
          <w:rFonts w:ascii="Google Sans Text" w:eastAsia="Google Sans Text" w:hAnsi="Google Sans Text" w:cs="Google Sans Text"/>
          <w:color w:val="1B1C1D"/>
          <w:sz w:val="24"/>
          <w:szCs w:val="24"/>
        </w:rPr>
        <w:t xml:space="preserve"> Het "Bergpakket" van Albanië biedt specifieke belastingvoordelen en subsidies voor investeringen in toerisme in bergachtige en landelijke gebieden, gericht op het stimuleren van duurzame ontwikkeling. Dit kan onder meer verlaagde </w:t>
      </w:r>
      <w:proofErr w:type="spellStart"/>
      <w:r>
        <w:rPr>
          <w:rFonts w:ascii="Google Sans Text" w:eastAsia="Google Sans Text" w:hAnsi="Google Sans Text" w:cs="Google Sans Text"/>
          <w:color w:val="1B1C1D"/>
          <w:sz w:val="24"/>
          <w:szCs w:val="24"/>
        </w:rPr>
        <w:t>BTW-tarieven</w:t>
      </w:r>
      <w:proofErr w:type="spellEnd"/>
      <w:r>
        <w:rPr>
          <w:rFonts w:ascii="Google Sans Text" w:eastAsia="Google Sans Text" w:hAnsi="Google Sans Text" w:cs="Google Sans Text"/>
          <w:color w:val="1B1C1D"/>
          <w:sz w:val="24"/>
          <w:szCs w:val="24"/>
        </w:rPr>
        <w:t xml:space="preserve"> of belastingvrijstellingen voor een bepaalde periode omvatten.</w:t>
      </w:r>
    </w:p>
    <w:p w14:paraId="212582B3"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Investeringsstimulansen &amp; Visumprogramma's:</w:t>
      </w:r>
    </w:p>
    <w:p w14:paraId="3713DE07" w14:textId="77777777" w:rsidR="00B16B06" w:rsidRDefault="00C75414" w:rsidP="00BE01A1">
      <w:pPr>
        <w:numPr>
          <w:ilvl w:val="0"/>
          <w:numId w:val="3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Investeringswetgeving:</w:t>
      </w:r>
      <w:r>
        <w:rPr>
          <w:rFonts w:ascii="Google Sans Text" w:eastAsia="Google Sans Text" w:hAnsi="Google Sans Text" w:cs="Google Sans Text"/>
          <w:color w:val="1B1C1D"/>
          <w:sz w:val="24"/>
          <w:szCs w:val="24"/>
        </w:rPr>
        <w:t xml:space="preserve"> De Albanese wetgeving stimuleert buitenlandse investeringen en biedt gelijke behandeling aan binnenlandse en buitenlandse investeerders.</w:t>
      </w:r>
    </w:p>
    <w:p w14:paraId="10397395" w14:textId="77777777" w:rsidR="00B16B06" w:rsidRDefault="00C75414" w:rsidP="00BE01A1">
      <w:pPr>
        <w:numPr>
          <w:ilvl w:val="0"/>
          <w:numId w:val="3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Visumprogramma's:</w:t>
      </w:r>
      <w:r>
        <w:rPr>
          <w:rFonts w:ascii="Google Sans Text" w:eastAsia="Google Sans Text" w:hAnsi="Google Sans Text" w:cs="Google Sans Text"/>
          <w:color w:val="1B1C1D"/>
          <w:sz w:val="24"/>
          <w:szCs w:val="24"/>
        </w:rPr>
        <w:t xml:space="preserve"> Albanië heeft geen specifiek "gouden visum" programma voor vastgoedinvesteringen, maar de visumvereisten zijn over het algemeen soepel voor burgers uit de EU, VS en andere ontwikkelde landen. De focus op EU-integratie draagt bij aan een stabiel en voorspelbaar investeringsklimaat.</w:t>
      </w:r>
    </w:p>
    <w:p w14:paraId="0713E816"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7E71125E" w14:textId="77777777" w:rsidR="00AD0C03" w:rsidRDefault="00AD0C03">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276ED812" w14:textId="77777777" w:rsidR="00AD0C03" w:rsidRDefault="00AD0C03">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2C8B2E27" w14:textId="77777777" w:rsidR="00AD0C03" w:rsidRDefault="00AD0C03">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40BAE658" w14:textId="77777777" w:rsidR="00AD0C03" w:rsidRDefault="00AD0C03">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21BB3603" w14:textId="77777777" w:rsidR="00B16B06" w:rsidRDefault="00C75414" w:rsidP="00C75414">
      <w:pPr>
        <w:pStyle w:val="Kop3"/>
      </w:pPr>
      <w:bookmarkStart w:id="36" w:name="_Toc204774332"/>
      <w:r>
        <w:lastRenderedPageBreak/>
        <w:t>4.2.6 Financiële Projecties &amp; ROI Detail</w:t>
      </w:r>
      <w:bookmarkEnd w:id="36"/>
    </w:p>
    <w:p w14:paraId="2613D667"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214E191"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Verwachte ROI-range:</w:t>
      </w:r>
      <w:r>
        <w:rPr>
          <w:rFonts w:ascii="Google Sans Text" w:eastAsia="Google Sans Text" w:hAnsi="Google Sans Text" w:cs="Google Sans Text"/>
          <w:color w:val="1B1C1D"/>
          <w:sz w:val="24"/>
          <w:szCs w:val="24"/>
        </w:rPr>
        <w:t xml:space="preserve"> De verwachte Return on Investment (ROI) voor een gerenoveerd vastgoedobject in landelijk Albanië, gericht op </w:t>
      </w:r>
      <w:proofErr w:type="spellStart"/>
      <w:r>
        <w:rPr>
          <w:rFonts w:ascii="Google Sans Text" w:eastAsia="Google Sans Text" w:hAnsi="Google Sans Text" w:cs="Google Sans Text"/>
          <w:color w:val="1B1C1D"/>
          <w:sz w:val="24"/>
          <w:szCs w:val="24"/>
        </w:rPr>
        <w:t>kortetermijnverhuur</w:t>
      </w:r>
      <w:proofErr w:type="spellEnd"/>
      <w:r>
        <w:rPr>
          <w:rFonts w:ascii="Google Sans Text" w:eastAsia="Google Sans Text" w:hAnsi="Google Sans Text" w:cs="Google Sans Text"/>
          <w:color w:val="1B1C1D"/>
          <w:sz w:val="24"/>
          <w:szCs w:val="24"/>
        </w:rPr>
        <w:t>, ligt tussen de 15% en 22% op jaarbasis. Deze range is gebaseerd op een investering van circa €100.000, inclusief aankoop en renovatie.</w:t>
      </w:r>
    </w:p>
    <w:p w14:paraId="561E61B3"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Gedetailleerde Aannames:</w:t>
      </w:r>
    </w:p>
    <w:p w14:paraId="6696EAB0" w14:textId="77777777" w:rsidR="00B16B06" w:rsidRDefault="00C75414" w:rsidP="00BE01A1">
      <w:pPr>
        <w:numPr>
          <w:ilvl w:val="0"/>
          <w:numId w:val="3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Geschatte </w:t>
      </w:r>
      <w:proofErr w:type="spellStart"/>
      <w:r>
        <w:rPr>
          <w:rFonts w:ascii="Google Sans Text" w:eastAsia="Google Sans Text" w:hAnsi="Google Sans Text" w:cs="Google Sans Text"/>
          <w:b/>
          <w:color w:val="1B1C1D"/>
          <w:sz w:val="24"/>
          <w:szCs w:val="24"/>
        </w:rPr>
        <w:t>Airbnb</w:t>
      </w:r>
      <w:proofErr w:type="spellEnd"/>
      <w:r>
        <w:rPr>
          <w:rFonts w:ascii="Google Sans Text" w:eastAsia="Google Sans Text" w:hAnsi="Google Sans Text" w:cs="Google Sans Text"/>
          <w:b/>
          <w:color w:val="1B1C1D"/>
          <w:sz w:val="24"/>
          <w:szCs w:val="24"/>
        </w:rPr>
        <w:t xml:space="preserve"> bezettingsgraad:</w:t>
      </w:r>
      <w:r>
        <w:rPr>
          <w:rFonts w:ascii="Google Sans Text" w:eastAsia="Google Sans Text" w:hAnsi="Google Sans Text" w:cs="Google Sans Text"/>
          <w:color w:val="1B1C1D"/>
          <w:sz w:val="24"/>
          <w:szCs w:val="24"/>
        </w:rPr>
        <w:t xml:space="preserve"> Op basis van geaggregeerde data voor vergelijkbare accommodaties in opkomende toeristische gebieden, wordt een realistische gemiddelde bezettingsgraad van 55-65% verwacht. Dit kan variëren met seizoenen, met pieken tijdens de zomermaanden en feestdagen.</w:t>
      </w:r>
    </w:p>
    <w:p w14:paraId="46B659E6" w14:textId="77777777" w:rsidR="00B16B06" w:rsidRDefault="00C75414" w:rsidP="00BE01A1">
      <w:pPr>
        <w:numPr>
          <w:ilvl w:val="0"/>
          <w:numId w:val="3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Geschatte </w:t>
      </w:r>
      <w:proofErr w:type="spellStart"/>
      <w:r>
        <w:rPr>
          <w:rFonts w:ascii="Google Sans Text" w:eastAsia="Google Sans Text" w:hAnsi="Google Sans Text" w:cs="Google Sans Text"/>
          <w:b/>
          <w:color w:val="1B1C1D"/>
          <w:sz w:val="24"/>
          <w:szCs w:val="24"/>
        </w:rPr>
        <w:t>Average</w:t>
      </w:r>
      <w:proofErr w:type="spellEnd"/>
      <w:r>
        <w:rPr>
          <w:rFonts w:ascii="Google Sans Text" w:eastAsia="Google Sans Text" w:hAnsi="Google Sans Text" w:cs="Google Sans Text"/>
          <w:b/>
          <w:color w:val="1B1C1D"/>
          <w:sz w:val="24"/>
          <w:szCs w:val="24"/>
        </w:rPr>
        <w:t xml:space="preserve"> Daily </w:t>
      </w:r>
      <w:proofErr w:type="spellStart"/>
      <w:r>
        <w:rPr>
          <w:rFonts w:ascii="Google Sans Text" w:eastAsia="Google Sans Text" w:hAnsi="Google Sans Text" w:cs="Google Sans Text"/>
          <w:b/>
          <w:color w:val="1B1C1D"/>
          <w:sz w:val="24"/>
          <w:szCs w:val="24"/>
        </w:rPr>
        <w:t>Rate</w:t>
      </w:r>
      <w:proofErr w:type="spellEnd"/>
      <w:r>
        <w:rPr>
          <w:rFonts w:ascii="Google Sans Text" w:eastAsia="Google Sans Text" w:hAnsi="Google Sans Text" w:cs="Google Sans Text"/>
          <w:b/>
          <w:color w:val="1B1C1D"/>
          <w:sz w:val="24"/>
          <w:szCs w:val="24"/>
        </w:rPr>
        <w:t xml:space="preserve"> (ADR):</w:t>
      </w:r>
      <w:r>
        <w:rPr>
          <w:rFonts w:ascii="Google Sans Text" w:eastAsia="Google Sans Text" w:hAnsi="Google Sans Text" w:cs="Google Sans Text"/>
          <w:color w:val="1B1C1D"/>
          <w:sz w:val="24"/>
          <w:szCs w:val="24"/>
        </w:rPr>
        <w:t xml:space="preserve"> De geschatte ADR voor een gerenoveerd pand van hoge kwaliteit in de geselecteerde gebieden ligt tussen €35 en €60, afhankelijk van de grootte, voorzieningen en seizoensgebonden vraag.</w:t>
      </w:r>
    </w:p>
    <w:p w14:paraId="5CA39EF9" w14:textId="77777777" w:rsidR="00B16B06" w:rsidRDefault="00C75414" w:rsidP="00BE01A1">
      <w:pPr>
        <w:numPr>
          <w:ilvl w:val="0"/>
          <w:numId w:val="3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Gedetailleerde uitsplitsing van operationele kosten (als percentage van bruto-omzet):</w:t>
      </w:r>
    </w:p>
    <w:p w14:paraId="0C16AF2C" w14:textId="77777777" w:rsidR="00B16B06" w:rsidRDefault="00C75414" w:rsidP="00BE01A1">
      <w:pPr>
        <w:numPr>
          <w:ilvl w:val="1"/>
          <w:numId w:val="3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Schoonmaak &amp; Onderhoud: 10-15%</w:t>
      </w:r>
    </w:p>
    <w:p w14:paraId="5D4ACFFF" w14:textId="77777777" w:rsidR="00B16B06" w:rsidRDefault="00C75414" w:rsidP="00BE01A1">
      <w:pPr>
        <w:numPr>
          <w:ilvl w:val="1"/>
          <w:numId w:val="3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Nutsvoorzieningen (elektriciteit, water, internet): 7-10%</w:t>
      </w:r>
    </w:p>
    <w:p w14:paraId="1A1A5F80" w14:textId="77777777" w:rsidR="00B16B06" w:rsidRDefault="00C75414" w:rsidP="00BE01A1">
      <w:pPr>
        <w:numPr>
          <w:ilvl w:val="1"/>
          <w:numId w:val="3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Platformkosten (</w:t>
      </w:r>
      <w:proofErr w:type="spellStart"/>
      <w:r>
        <w:rPr>
          <w:rFonts w:ascii="Google Sans Text" w:eastAsia="Google Sans Text" w:hAnsi="Google Sans Text" w:cs="Google Sans Text"/>
          <w:color w:val="1B1C1D"/>
          <w:sz w:val="24"/>
          <w:szCs w:val="24"/>
        </w:rPr>
        <w:t>Airbnb</w:t>
      </w:r>
      <w:proofErr w:type="spellEnd"/>
      <w:r>
        <w:rPr>
          <w:rFonts w:ascii="Google Sans Text" w:eastAsia="Google Sans Text" w:hAnsi="Google Sans Text" w:cs="Google Sans Text"/>
          <w:color w:val="1B1C1D"/>
          <w:sz w:val="24"/>
          <w:szCs w:val="24"/>
        </w:rPr>
        <w:t>/Booking.com): 3-5%</w:t>
      </w:r>
    </w:p>
    <w:p w14:paraId="00CE80A1" w14:textId="77777777" w:rsidR="00B16B06" w:rsidRDefault="00C75414" w:rsidP="00BE01A1">
      <w:pPr>
        <w:numPr>
          <w:ilvl w:val="1"/>
          <w:numId w:val="3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Property Management </w:t>
      </w:r>
      <w:proofErr w:type="spellStart"/>
      <w:r>
        <w:rPr>
          <w:rFonts w:ascii="Google Sans Text" w:eastAsia="Google Sans Text" w:hAnsi="Google Sans Text" w:cs="Google Sans Text"/>
          <w:color w:val="1B1C1D"/>
          <w:sz w:val="24"/>
          <w:szCs w:val="24"/>
        </w:rPr>
        <w:t>Fees</w:t>
      </w:r>
      <w:proofErr w:type="spellEnd"/>
      <w:r>
        <w:rPr>
          <w:rFonts w:ascii="Google Sans Text" w:eastAsia="Google Sans Text" w:hAnsi="Google Sans Text" w:cs="Google Sans Text"/>
          <w:color w:val="1B1C1D"/>
          <w:sz w:val="24"/>
          <w:szCs w:val="24"/>
        </w:rPr>
        <w:t>: 15-20% (indien uitbesteed)</w:t>
      </w:r>
    </w:p>
    <w:p w14:paraId="0D294CC6" w14:textId="77777777" w:rsidR="00B16B06" w:rsidRDefault="00C75414" w:rsidP="00BE01A1">
      <w:pPr>
        <w:numPr>
          <w:ilvl w:val="1"/>
          <w:numId w:val="3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Verzekeringen: 1-2%</w:t>
      </w:r>
    </w:p>
    <w:p w14:paraId="047308D3" w14:textId="77777777" w:rsidR="00B16B06" w:rsidRDefault="00C75414" w:rsidP="00BE01A1">
      <w:pPr>
        <w:numPr>
          <w:ilvl w:val="1"/>
          <w:numId w:val="3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Overige (klein onderhoud, verbruiksartikelen): 5-8%</w:t>
      </w:r>
    </w:p>
    <w:p w14:paraId="4C262ACE" w14:textId="77777777" w:rsidR="00B16B06" w:rsidRDefault="00C75414" w:rsidP="00BE01A1">
      <w:pPr>
        <w:numPr>
          <w:ilvl w:val="1"/>
          <w:numId w:val="3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Totale operationele kosten: Gemiddeld 41-60% van bruto-omzet.</w:t>
      </w:r>
    </w:p>
    <w:p w14:paraId="6F45001B" w14:textId="77777777" w:rsidR="00B16B06" w:rsidRDefault="00C75414" w:rsidP="00BE01A1">
      <w:pPr>
        <w:numPr>
          <w:ilvl w:val="0"/>
          <w:numId w:val="33"/>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CapEx</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Capital</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Expenditure</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Indicatie van aanvullende investeringen na renovatie:</w:t>
      </w:r>
    </w:p>
    <w:p w14:paraId="4521F71B" w14:textId="77777777" w:rsidR="00B16B06" w:rsidRDefault="00C75414" w:rsidP="00BE01A1">
      <w:pPr>
        <w:numPr>
          <w:ilvl w:val="1"/>
          <w:numId w:val="3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Meubilering en inrichting: €4.000 - €8.000</w:t>
      </w:r>
    </w:p>
    <w:p w14:paraId="4311A4D8" w14:textId="77777777" w:rsidR="00B16B06" w:rsidRDefault="00C75414" w:rsidP="00BE01A1">
      <w:pPr>
        <w:numPr>
          <w:ilvl w:val="1"/>
          <w:numId w:val="3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Initiële marketing en fotografie: €400 - €800</w:t>
      </w:r>
    </w:p>
    <w:p w14:paraId="16EDCABD" w14:textId="77777777" w:rsidR="00B16B06" w:rsidRDefault="00C75414" w:rsidP="00BE01A1">
      <w:pPr>
        <w:numPr>
          <w:ilvl w:val="1"/>
          <w:numId w:val="36"/>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Onvoorziene kosten: 5-10% van totale projectkosten</w:t>
      </w:r>
    </w:p>
    <w:p w14:paraId="3B876716"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Scenario-analyse:</w:t>
      </w:r>
    </w:p>
    <w:p w14:paraId="548A9A32" w14:textId="77777777" w:rsidR="00B16B06" w:rsidRDefault="00C75414" w:rsidP="00BE01A1">
      <w:pPr>
        <w:numPr>
          <w:ilvl w:val="0"/>
          <w:numId w:val="3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Optimistisch Scenario (ROI 22%):</w:t>
      </w:r>
      <w:r>
        <w:rPr>
          <w:rFonts w:ascii="Google Sans Text" w:eastAsia="Google Sans Text" w:hAnsi="Google Sans Text" w:cs="Google Sans Text"/>
          <w:color w:val="1B1C1D"/>
          <w:sz w:val="24"/>
          <w:szCs w:val="24"/>
        </w:rPr>
        <w:t xml:space="preserve"> Hoge bezettingsgraad (65-70%), hogere ADR (€55-€60), zeer efficiënt kostenbeheer, snelle waardevermeerdering van vastgoed door sterke toeristische groei en EU-integratie. Terugverdientijd: 4-5 jaar.</w:t>
      </w:r>
    </w:p>
    <w:p w14:paraId="644A5CE2" w14:textId="77777777" w:rsidR="00B16B06" w:rsidRDefault="00C75414" w:rsidP="00BE01A1">
      <w:pPr>
        <w:numPr>
          <w:ilvl w:val="0"/>
          <w:numId w:val="3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Realistisch Scenario (ROI 18%):</w:t>
      </w:r>
      <w:r>
        <w:rPr>
          <w:rFonts w:ascii="Google Sans Text" w:eastAsia="Google Sans Text" w:hAnsi="Google Sans Text" w:cs="Google Sans Text"/>
          <w:color w:val="1B1C1D"/>
          <w:sz w:val="24"/>
          <w:szCs w:val="24"/>
        </w:rPr>
        <w:t xml:space="preserve"> Gemiddelde bezettingsgraad (55-60%), </w:t>
      </w:r>
      <w:r>
        <w:rPr>
          <w:rFonts w:ascii="Google Sans Text" w:eastAsia="Google Sans Text" w:hAnsi="Google Sans Text" w:cs="Google Sans Text"/>
          <w:color w:val="1B1C1D"/>
          <w:sz w:val="24"/>
          <w:szCs w:val="24"/>
        </w:rPr>
        <w:lastRenderedPageBreak/>
        <w:t>gemiddelde ADR (€45-€50), verwachte operationele kosten, gestage waardevermeerdering. Terugverdientijd: 5-6 jaar.</w:t>
      </w:r>
    </w:p>
    <w:p w14:paraId="13DA3973" w14:textId="77777777" w:rsidR="00B16B06" w:rsidRDefault="00C75414" w:rsidP="00BE01A1">
      <w:pPr>
        <w:numPr>
          <w:ilvl w:val="0"/>
          <w:numId w:val="37"/>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Pessimistisch Scenario (ROI 15%):</w:t>
      </w:r>
      <w:r>
        <w:rPr>
          <w:rFonts w:ascii="Google Sans Text" w:eastAsia="Google Sans Text" w:hAnsi="Google Sans Text" w:cs="Google Sans Text"/>
          <w:color w:val="1B1C1D"/>
          <w:sz w:val="24"/>
          <w:szCs w:val="24"/>
        </w:rPr>
        <w:t xml:space="preserve"> Lagere bezettingsgraad (45-50%), lagere ADR (€35-€40) door toegenomen concurrentie of economische tegenslag, hogere onvoorziene kosten. Terugverdientijd: 6-7 jaar.</w:t>
      </w:r>
    </w:p>
    <w:p w14:paraId="35DAA11B" w14:textId="77777777" w:rsidR="00B16B06" w:rsidRDefault="00C75414">
      <w:pPr>
        <w:pBdr>
          <w:top w:val="nil"/>
          <w:left w:val="nil"/>
          <w:bottom w:val="nil"/>
          <w:right w:val="nil"/>
          <w:between w:val="nil"/>
        </w:pBdr>
        <w:spacing w:before="240"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Cashflow Projecties (voorbeeld, 5-jaar projectie):</w:t>
      </w:r>
    </w:p>
    <w:tbl>
      <w:tblPr>
        <w:tblStyle w:val="4"/>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B16B06" w14:paraId="0C68A21D"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6368B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Jaar</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B5218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Initiële Investering</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D3105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Renovatiekosten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27394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Bruto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CCC71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Operationele 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FF5C1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7D56F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Belastingen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7E35C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Cashflow</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E2948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Cumulatieve Netto Cashflow</w:t>
            </w:r>
          </w:p>
        </w:tc>
      </w:tr>
      <w:tr w:rsidR="00B16B06" w14:paraId="5E139E0A"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1FE65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D3523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0703C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29527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4DA99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71256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B4EF2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47AC5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AB8B8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r>
      <w:tr w:rsidR="00B16B06" w14:paraId="7F584131"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A2DF1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55600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52C5B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78B68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€22.000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FF555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7A1E4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E8A00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-€1.650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4FE74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€9.350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68C4F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-€90.650</w:t>
            </w:r>
          </w:p>
        </w:tc>
      </w:tr>
      <w:tr w:rsidR="00B16B06" w14:paraId="696E2C40"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C9E75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BDD0A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FA3F8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63117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€24.000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A2587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28198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68438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-€1.800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F2A89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€10.200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3B9FC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-€80.450</w:t>
            </w:r>
          </w:p>
        </w:tc>
      </w:tr>
      <w:tr w:rsidR="00B16B06" w14:paraId="5596E7A6"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A476A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69CC7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D620F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BA6F0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€26.500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414EB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-€13.250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754B5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€13.250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D7734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-€1.988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6DAF8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€11.262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F38DE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-€69.188</w:t>
            </w:r>
          </w:p>
        </w:tc>
      </w:tr>
      <w:tr w:rsidR="00B16B06" w14:paraId="3B559066"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41AF5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F03C8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4EC90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83F8E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€29.000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F06F1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E28F8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A94DD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-€2.175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1D01F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€12.325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E1ED3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-€56.863</w:t>
            </w:r>
          </w:p>
        </w:tc>
      </w:tr>
      <w:tr w:rsidR="00B16B06" w14:paraId="459544D2"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916ED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5653D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DB7D9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6D772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€31.500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7FD0B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-€15.750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77620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€15.750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F9C84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-€2.363</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84CB5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€13.387</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79C55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-€43.476</w:t>
            </w:r>
          </w:p>
        </w:tc>
      </w:tr>
    </w:tbl>
    <w:p w14:paraId="0A7E036F" w14:textId="77777777" w:rsidR="00B16B06" w:rsidRDefault="00C75414">
      <w:pPr>
        <w:pBdr>
          <w:top w:val="nil"/>
          <w:left w:val="nil"/>
          <w:bottom w:val="nil"/>
          <w:right w:val="nil"/>
          <w:between w:val="nil"/>
        </w:pBdr>
        <w:spacing w:before="480" w:after="240" w:line="275" w:lineRule="auto"/>
        <w:rPr>
          <w:rFonts w:ascii="Google Sans Text" w:eastAsia="Google Sans Text" w:hAnsi="Google Sans Text" w:cs="Google Sans Text"/>
          <w:i/>
          <w:color w:val="1B1C1D"/>
          <w:sz w:val="24"/>
          <w:szCs w:val="24"/>
        </w:rPr>
      </w:pPr>
      <w:r>
        <w:rPr>
          <w:rFonts w:ascii="Google Sans Text" w:eastAsia="Google Sans Text" w:hAnsi="Google Sans Text" w:cs="Google Sans Text"/>
          <w:i/>
          <w:color w:val="1B1C1D"/>
          <w:sz w:val="24"/>
          <w:szCs w:val="24"/>
        </w:rPr>
        <w:lastRenderedPageBreak/>
        <w:t xml:space="preserve">Opmerking: Deze tabel is een vereenvoudigde illustratie. De gedetailleerde cashflow projecties in de bijlagen omvatten meer </w:t>
      </w:r>
      <w:proofErr w:type="spellStart"/>
      <w:r>
        <w:rPr>
          <w:rFonts w:ascii="Google Sans Text" w:eastAsia="Google Sans Text" w:hAnsi="Google Sans Text" w:cs="Google Sans Text"/>
          <w:i/>
          <w:color w:val="1B1C1D"/>
          <w:sz w:val="24"/>
          <w:szCs w:val="24"/>
        </w:rPr>
        <w:t>granulariteit</w:t>
      </w:r>
      <w:proofErr w:type="spellEnd"/>
      <w:r>
        <w:rPr>
          <w:rFonts w:ascii="Google Sans Text" w:eastAsia="Google Sans Text" w:hAnsi="Google Sans Text" w:cs="Google Sans Text"/>
          <w:i/>
          <w:color w:val="1B1C1D"/>
          <w:sz w:val="24"/>
          <w:szCs w:val="24"/>
        </w:rPr>
        <w:t xml:space="preserve"> en variaties per scenario, inclusief de impact van waardestijging van het vastgoed bij exit.</w:t>
      </w:r>
    </w:p>
    <w:p w14:paraId="1F567651"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i/>
          <w:color w:val="1B1C1D"/>
          <w:sz w:val="24"/>
          <w:szCs w:val="24"/>
        </w:rPr>
      </w:pPr>
    </w:p>
    <w:p w14:paraId="5305D5B8" w14:textId="77777777" w:rsidR="00B16B06" w:rsidRDefault="00C75414" w:rsidP="00C75414">
      <w:pPr>
        <w:pStyle w:val="Kop3"/>
      </w:pPr>
      <w:bookmarkStart w:id="37" w:name="_Toc204774333"/>
      <w:r>
        <w:t>4.2.7 Lokale Implementatiepartners &amp; Ondersteuning</w:t>
      </w:r>
      <w:bookmarkEnd w:id="37"/>
    </w:p>
    <w:p w14:paraId="21E4DAF2"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3B04D5B"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Voor succesvolle implementatie in landelijk Albanië is een betrouwbaar netwerk van lokale partners onmisbaar. Typische lokale partijen omvatten:</w:t>
      </w:r>
    </w:p>
    <w:p w14:paraId="7D9474EC" w14:textId="77777777" w:rsidR="00B16B06" w:rsidRDefault="00C75414" w:rsidP="00BE01A1">
      <w:pPr>
        <w:numPr>
          <w:ilvl w:val="0"/>
          <w:numId w:val="3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Makelaardij:</w:t>
      </w:r>
      <w:r>
        <w:rPr>
          <w:rFonts w:ascii="Google Sans Text" w:eastAsia="Google Sans Text" w:hAnsi="Google Sans Text" w:cs="Google Sans Text"/>
          <w:color w:val="1B1C1D"/>
          <w:sz w:val="24"/>
          <w:szCs w:val="24"/>
        </w:rPr>
        <w:t xml:space="preserve"> Lokale vastgoedagenten met diepgaande kennis van de landelijke markt en toegang tot onroerend goed dat niet publiekelijk wordt aangeboden.</w:t>
      </w:r>
    </w:p>
    <w:p w14:paraId="43566BE8" w14:textId="77777777" w:rsidR="00B16B06" w:rsidRDefault="00C75414" w:rsidP="00BE01A1">
      <w:pPr>
        <w:numPr>
          <w:ilvl w:val="0"/>
          <w:numId w:val="3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 Advies:</w:t>
      </w:r>
      <w:r>
        <w:rPr>
          <w:rFonts w:ascii="Google Sans Text" w:eastAsia="Google Sans Text" w:hAnsi="Google Sans Text" w:cs="Google Sans Text"/>
          <w:color w:val="1B1C1D"/>
          <w:sz w:val="24"/>
          <w:szCs w:val="24"/>
        </w:rPr>
        <w:t xml:space="preserve"> Advocaten gespecialiseerd in vastgoedrecht, eigendomstitels en buitenlandse investeringen, cruciaal gezien de historische complexiteit van eigendomsrechten in Albanië.</w:t>
      </w:r>
    </w:p>
    <w:p w14:paraId="65768BF4" w14:textId="77777777" w:rsidR="00B16B06" w:rsidRDefault="00C75414" w:rsidP="00BE01A1">
      <w:pPr>
        <w:numPr>
          <w:ilvl w:val="0"/>
          <w:numId w:val="3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Projectmanagement:</w:t>
      </w:r>
      <w:r>
        <w:rPr>
          <w:rFonts w:ascii="Google Sans Text" w:eastAsia="Google Sans Text" w:hAnsi="Google Sans Text" w:cs="Google Sans Text"/>
          <w:color w:val="1B1C1D"/>
          <w:sz w:val="24"/>
          <w:szCs w:val="24"/>
        </w:rPr>
        <w:t xml:space="preserve"> Ervaren lokale aannemers en bouwmanagers die bekend zijn met de Albanese bouwvoorschriften en materialen.</w:t>
      </w:r>
    </w:p>
    <w:p w14:paraId="0FE40655" w14:textId="77777777" w:rsidR="00B16B06" w:rsidRDefault="00C75414" w:rsidP="00BE01A1">
      <w:pPr>
        <w:numPr>
          <w:ilvl w:val="0"/>
          <w:numId w:val="38"/>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Property Management: Betrouwbare teams voor dagelijks beheer, schoonmaak, onderhoud en gastenservice, vaak met meertalige capaciteiten.</w:t>
      </w:r>
      <w:r>
        <w:rPr>
          <w:color w:val="000000"/>
        </w:rPr>
        <w:br/>
      </w:r>
      <w:r>
        <w:rPr>
          <w:rFonts w:ascii="Google Sans Text" w:eastAsia="Google Sans Text" w:hAnsi="Google Sans Text" w:cs="Google Sans Text"/>
          <w:color w:val="1B1C1D"/>
          <w:sz w:val="24"/>
          <w:szCs w:val="24"/>
        </w:rPr>
        <w:t>"De Gouden Kansen van Nu" heeft een geverifieerd netwerk van deze partners, die essentieel zijn voor het navigeren door de lokale context en het waarborgen van een soepele operatie.</w:t>
      </w:r>
    </w:p>
    <w:p w14:paraId="5A64EF3D" w14:textId="77777777" w:rsidR="004029B5" w:rsidRPr="004029B5" w:rsidRDefault="004029B5" w:rsidP="004029B5"/>
    <w:p w14:paraId="04D0ED5B" w14:textId="77777777" w:rsidR="00B16B06" w:rsidRDefault="00C75414" w:rsidP="00C75414">
      <w:pPr>
        <w:pStyle w:val="Kop2"/>
        <w:rPr>
          <w:rFonts w:ascii="Google Sans" w:eastAsia="Google Sans" w:hAnsi="Google Sans" w:cs="Google Sans"/>
        </w:rPr>
      </w:pPr>
      <w:bookmarkStart w:id="38" w:name="_Toc204774334"/>
      <w:r>
        <w:rPr>
          <w:rFonts w:ascii="Google Sans" w:eastAsia="Google Sans" w:hAnsi="Google Sans" w:cs="Google Sans"/>
        </w:rPr>
        <w:t>4.3 Landelijk Colombia (Koffie-as)</w:t>
      </w:r>
      <w:bookmarkEnd w:id="38"/>
    </w:p>
    <w:p w14:paraId="5E2E8111" w14:textId="77777777" w:rsidR="00B16B06" w:rsidRDefault="00B16B06" w:rsidP="00C75414">
      <w:pPr>
        <w:pStyle w:val="Kop2"/>
        <w:rPr>
          <w:rFonts w:ascii="Google Sans" w:eastAsia="Google Sans" w:hAnsi="Google Sans" w:cs="Google Sans"/>
        </w:rPr>
      </w:pPr>
    </w:p>
    <w:p w14:paraId="391A4E2E"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41360EDB" w14:textId="77777777" w:rsidR="00B16B06" w:rsidRDefault="00C75414" w:rsidP="00C75414">
      <w:pPr>
        <w:pStyle w:val="Kop3"/>
      </w:pPr>
      <w:bookmarkStart w:id="39" w:name="_Toc204774335"/>
      <w:r>
        <w:t>4.3.1 Historische Context &amp; Huidig Profiel</w:t>
      </w:r>
      <w:bookmarkEnd w:id="39"/>
    </w:p>
    <w:p w14:paraId="51E4C0B9"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4FC258E4"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Koffie-as (</w:t>
      </w:r>
      <w:proofErr w:type="spellStart"/>
      <w:r>
        <w:rPr>
          <w:rFonts w:ascii="Google Sans Text" w:eastAsia="Google Sans Text" w:hAnsi="Google Sans Text" w:cs="Google Sans Text"/>
          <w:color w:val="1B1C1D"/>
          <w:sz w:val="24"/>
          <w:szCs w:val="24"/>
        </w:rPr>
        <w:t>Eje</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Cafetero</w:t>
      </w:r>
      <w:proofErr w:type="spellEnd"/>
      <w:r>
        <w:rPr>
          <w:rFonts w:ascii="Google Sans Text" w:eastAsia="Google Sans Text" w:hAnsi="Google Sans Text" w:cs="Google Sans Text"/>
          <w:color w:val="1B1C1D"/>
          <w:sz w:val="24"/>
          <w:szCs w:val="24"/>
        </w:rPr>
        <w:t xml:space="preserve">) in Colombia, bestaande uit de departementen Caldas, </w:t>
      </w:r>
      <w:proofErr w:type="spellStart"/>
      <w:r>
        <w:rPr>
          <w:rFonts w:ascii="Google Sans Text" w:eastAsia="Google Sans Text" w:hAnsi="Google Sans Text" w:cs="Google Sans Text"/>
          <w:color w:val="1B1C1D"/>
          <w:sz w:val="24"/>
          <w:szCs w:val="24"/>
        </w:rPr>
        <w:t>Quindío</w:t>
      </w:r>
      <w:proofErr w:type="spellEnd"/>
      <w:r>
        <w:rPr>
          <w:rFonts w:ascii="Google Sans Text" w:eastAsia="Google Sans Text" w:hAnsi="Google Sans Text" w:cs="Google Sans Text"/>
          <w:color w:val="1B1C1D"/>
          <w:sz w:val="24"/>
          <w:szCs w:val="24"/>
        </w:rPr>
        <w:t xml:space="preserve"> en </w:t>
      </w:r>
      <w:proofErr w:type="spellStart"/>
      <w:r>
        <w:rPr>
          <w:rFonts w:ascii="Google Sans Text" w:eastAsia="Google Sans Text" w:hAnsi="Google Sans Text" w:cs="Google Sans Text"/>
          <w:color w:val="1B1C1D"/>
          <w:sz w:val="24"/>
          <w:szCs w:val="24"/>
        </w:rPr>
        <w:t>Risaralda</w:t>
      </w:r>
      <w:proofErr w:type="spellEnd"/>
      <w:r>
        <w:rPr>
          <w:rFonts w:ascii="Google Sans Text" w:eastAsia="Google Sans Text" w:hAnsi="Google Sans Text" w:cs="Google Sans Text"/>
          <w:color w:val="1B1C1D"/>
          <w:sz w:val="24"/>
          <w:szCs w:val="24"/>
        </w:rPr>
        <w:t xml:space="preserve">, is het hart van de Colombiaanse koffieproductie en een UNESCO </w:t>
      </w:r>
      <w:proofErr w:type="spellStart"/>
      <w:r>
        <w:rPr>
          <w:rFonts w:ascii="Google Sans Text" w:eastAsia="Google Sans Text" w:hAnsi="Google Sans Text" w:cs="Google Sans Text"/>
          <w:color w:val="1B1C1D"/>
          <w:sz w:val="24"/>
          <w:szCs w:val="24"/>
        </w:rPr>
        <w:t>Werelderfgoedlandschap</w:t>
      </w:r>
      <w:proofErr w:type="spellEnd"/>
      <w:r>
        <w:rPr>
          <w:rFonts w:ascii="Google Sans Text" w:eastAsia="Google Sans Text" w:hAnsi="Google Sans Text" w:cs="Google Sans Text"/>
          <w:color w:val="1B1C1D"/>
          <w:sz w:val="24"/>
          <w:szCs w:val="24"/>
        </w:rPr>
        <w:t xml:space="preserve">. Historisch gezien is de regio gevormd door de koffieteelt, die de cultuur, architectuur en economie diepgaand heeft beïnvloed. Na </w:t>
      </w:r>
      <w:r>
        <w:rPr>
          <w:rFonts w:ascii="Google Sans Text" w:eastAsia="Google Sans Text" w:hAnsi="Google Sans Text" w:cs="Google Sans Text"/>
          <w:color w:val="1B1C1D"/>
          <w:sz w:val="24"/>
          <w:szCs w:val="24"/>
        </w:rPr>
        <w:lastRenderedPageBreak/>
        <w:t xml:space="preserve">decennia van interne conflicten heeft Colombia aanzienlijke vooruitgang geboekt op het gebied van veiligheid en stabiliteit, wat de weg heeft vrijgemaakt voor economische ontwikkeling en toerisme. De demografie van de landelijke gebieden in de Koffie-as is divers, met een mix van koffieboeren, ambachtslieden en een groeiende dienstensector gericht op toerisme. De economische basis verschuift van pure landbouw naar een hybride model dat </w:t>
      </w:r>
      <w:proofErr w:type="spellStart"/>
      <w:r>
        <w:rPr>
          <w:rFonts w:ascii="Google Sans Text" w:eastAsia="Google Sans Text" w:hAnsi="Google Sans Text" w:cs="Google Sans Text"/>
          <w:color w:val="1B1C1D"/>
          <w:sz w:val="24"/>
          <w:szCs w:val="24"/>
        </w:rPr>
        <w:t>agrotourisme</w:t>
      </w:r>
      <w:proofErr w:type="spellEnd"/>
      <w:r>
        <w:rPr>
          <w:rFonts w:ascii="Google Sans Text" w:eastAsia="Google Sans Text" w:hAnsi="Google Sans Text" w:cs="Google Sans Text"/>
          <w:color w:val="1B1C1D"/>
          <w:sz w:val="24"/>
          <w:szCs w:val="24"/>
        </w:rPr>
        <w:t>, ecotoerisme en cultureel toerisme omvat.</w:t>
      </w:r>
    </w:p>
    <w:p w14:paraId="6DD8FAF1"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381FE0C5" w14:textId="77777777" w:rsidR="00B16B06" w:rsidRDefault="00C75414" w:rsidP="00C75414">
      <w:pPr>
        <w:pStyle w:val="Kop3"/>
      </w:pPr>
      <w:bookmarkStart w:id="40" w:name="_Toc204774336"/>
      <w:r>
        <w:t>4.3.2 Toeristische Groeimarkers &amp; Potentieel</w:t>
      </w:r>
      <w:bookmarkEnd w:id="40"/>
    </w:p>
    <w:p w14:paraId="39FEAABA"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79E86E25"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Colombia heeft de afgelopen jaren een sterke groei in toeristische aankomsten gezien, met een jaarlijkse groei van meer dan 10% vóór de pandemie en een robuust herstel daarna. De Koffie-as, met zijn unieke aanbod, heeft hierin een belangrijke rol gespeeld.</w:t>
      </w:r>
    </w:p>
    <w:p w14:paraId="64D673B5" w14:textId="77777777" w:rsidR="00B16B06" w:rsidRDefault="00C75414" w:rsidP="00BE01A1">
      <w:pPr>
        <w:numPr>
          <w:ilvl w:val="0"/>
          <w:numId w:val="3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Type Toerist:</w:t>
      </w:r>
      <w:r>
        <w:rPr>
          <w:rFonts w:ascii="Google Sans Text" w:eastAsia="Google Sans Text" w:hAnsi="Google Sans Text" w:cs="Google Sans Text"/>
          <w:color w:val="1B1C1D"/>
          <w:sz w:val="24"/>
          <w:szCs w:val="24"/>
        </w:rPr>
        <w:t xml:space="preserve"> Een mix van internationale reizigers (vooral uit Noord-Amerika en Europa) die geïnteresseerd zijn in koffiecultuur, natuur en avontuur, en binnenlandse toeristen die de regio bezoeken voor ontspanning en culturele ervaringen. Er is een groeiende groep digitale nomaden die de regio waarderen om zijn betaalbaarheid en natuurlijke schoonheid.</w:t>
      </w:r>
    </w:p>
    <w:p w14:paraId="1221C0BF" w14:textId="77777777" w:rsidR="00B16B06" w:rsidRDefault="00C75414" w:rsidP="00BE01A1">
      <w:pPr>
        <w:numPr>
          <w:ilvl w:val="0"/>
          <w:numId w:val="39"/>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Groeivoorspellingen:</w:t>
      </w:r>
      <w:r>
        <w:rPr>
          <w:rFonts w:ascii="Google Sans Text" w:eastAsia="Google Sans Text" w:hAnsi="Google Sans Text" w:cs="Google Sans Text"/>
          <w:color w:val="1B1C1D"/>
          <w:sz w:val="24"/>
          <w:szCs w:val="24"/>
        </w:rPr>
        <w:t xml:space="preserve"> De vooruitzichten zijn zeer positief, gestimuleerd door de verbeterde veiligheidssituatie, overheidsinvesteringen in toerisme en de toenemende bekendheid van Colombia als een topbestemming.</w:t>
      </w:r>
    </w:p>
    <w:p w14:paraId="33EC18A2"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Unieke Verkoopargumenten (USP's):</w:t>
      </w:r>
    </w:p>
    <w:p w14:paraId="0379D001" w14:textId="77777777" w:rsidR="00B16B06" w:rsidRDefault="00C75414" w:rsidP="00BE01A1">
      <w:pPr>
        <w:numPr>
          <w:ilvl w:val="0"/>
          <w:numId w:val="4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Koffiecultuurlandschap:</w:t>
      </w:r>
      <w:r>
        <w:rPr>
          <w:rFonts w:ascii="Google Sans Text" w:eastAsia="Google Sans Text" w:hAnsi="Google Sans Text" w:cs="Google Sans Text"/>
          <w:color w:val="1B1C1D"/>
          <w:sz w:val="24"/>
          <w:szCs w:val="24"/>
        </w:rPr>
        <w:t xml:space="preserve"> UNESCO </w:t>
      </w:r>
      <w:proofErr w:type="spellStart"/>
      <w:r>
        <w:rPr>
          <w:rFonts w:ascii="Google Sans Text" w:eastAsia="Google Sans Text" w:hAnsi="Google Sans Text" w:cs="Google Sans Text"/>
          <w:color w:val="1B1C1D"/>
          <w:sz w:val="24"/>
          <w:szCs w:val="24"/>
        </w:rPr>
        <w:t>Werelderfgoedstatus</w:t>
      </w:r>
      <w:proofErr w:type="spellEnd"/>
      <w:r>
        <w:rPr>
          <w:rFonts w:ascii="Google Sans Text" w:eastAsia="Google Sans Text" w:hAnsi="Google Sans Text" w:cs="Google Sans Text"/>
          <w:color w:val="1B1C1D"/>
          <w:sz w:val="24"/>
          <w:szCs w:val="24"/>
        </w:rPr>
        <w:t>, met de mogelijkheid om koffieboerderijen te bezoeken en het proces van boon tot kop te ervaren.</w:t>
      </w:r>
    </w:p>
    <w:p w14:paraId="732D5EF9" w14:textId="77777777" w:rsidR="00B16B06" w:rsidRDefault="00C75414" w:rsidP="00BE01A1">
      <w:pPr>
        <w:numPr>
          <w:ilvl w:val="0"/>
          <w:numId w:val="4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Biodiversiteit &amp; Natuur:</w:t>
      </w:r>
      <w:r>
        <w:rPr>
          <w:rFonts w:ascii="Google Sans Text" w:eastAsia="Google Sans Text" w:hAnsi="Google Sans Text" w:cs="Google Sans Text"/>
          <w:color w:val="1B1C1D"/>
          <w:sz w:val="24"/>
          <w:szCs w:val="24"/>
        </w:rPr>
        <w:t xml:space="preserve"> Nabijheid van nationale parken (Los </w:t>
      </w:r>
      <w:proofErr w:type="spellStart"/>
      <w:r>
        <w:rPr>
          <w:rFonts w:ascii="Google Sans Text" w:eastAsia="Google Sans Text" w:hAnsi="Google Sans Text" w:cs="Google Sans Text"/>
          <w:color w:val="1B1C1D"/>
          <w:sz w:val="24"/>
          <w:szCs w:val="24"/>
        </w:rPr>
        <w:t>Nevados</w:t>
      </w:r>
      <w:proofErr w:type="spellEnd"/>
      <w:r>
        <w:rPr>
          <w:rFonts w:ascii="Google Sans Text" w:eastAsia="Google Sans Text" w:hAnsi="Google Sans Text" w:cs="Google Sans Text"/>
          <w:color w:val="1B1C1D"/>
          <w:sz w:val="24"/>
          <w:szCs w:val="24"/>
        </w:rPr>
        <w:t xml:space="preserve"> National Natural Park), nevelwouden en diverse ecosystemen, ideaal voor wandelen, vogels spotten en ecotoerisme.</w:t>
      </w:r>
    </w:p>
    <w:p w14:paraId="2EA16188" w14:textId="77777777" w:rsidR="00B16B06" w:rsidRDefault="00C75414" w:rsidP="00BE01A1">
      <w:pPr>
        <w:numPr>
          <w:ilvl w:val="0"/>
          <w:numId w:val="4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Charmante Dorpen:</w:t>
      </w:r>
      <w:r>
        <w:rPr>
          <w:rFonts w:ascii="Google Sans Text" w:eastAsia="Google Sans Text" w:hAnsi="Google Sans Text" w:cs="Google Sans Text"/>
          <w:color w:val="1B1C1D"/>
          <w:sz w:val="24"/>
          <w:szCs w:val="24"/>
        </w:rPr>
        <w:t xml:space="preserve"> Pittoreske dorpen zoals </w:t>
      </w:r>
      <w:proofErr w:type="spellStart"/>
      <w:r>
        <w:rPr>
          <w:rFonts w:ascii="Google Sans Text" w:eastAsia="Google Sans Text" w:hAnsi="Google Sans Text" w:cs="Google Sans Text"/>
          <w:color w:val="1B1C1D"/>
          <w:sz w:val="24"/>
          <w:szCs w:val="24"/>
        </w:rPr>
        <w:t>Salento</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Filandia</w:t>
      </w:r>
      <w:proofErr w:type="spellEnd"/>
      <w:r>
        <w:rPr>
          <w:rFonts w:ascii="Google Sans Text" w:eastAsia="Google Sans Text" w:hAnsi="Google Sans Text" w:cs="Google Sans Text"/>
          <w:color w:val="1B1C1D"/>
          <w:sz w:val="24"/>
          <w:szCs w:val="24"/>
        </w:rPr>
        <w:t xml:space="preserve"> en </w:t>
      </w:r>
      <w:proofErr w:type="spellStart"/>
      <w:r>
        <w:rPr>
          <w:rFonts w:ascii="Google Sans Text" w:eastAsia="Google Sans Text" w:hAnsi="Google Sans Text" w:cs="Google Sans Text"/>
          <w:color w:val="1B1C1D"/>
          <w:sz w:val="24"/>
          <w:szCs w:val="24"/>
        </w:rPr>
        <w:t>Pijao</w:t>
      </w:r>
      <w:proofErr w:type="spellEnd"/>
      <w:r>
        <w:rPr>
          <w:rFonts w:ascii="Google Sans Text" w:eastAsia="Google Sans Text" w:hAnsi="Google Sans Text" w:cs="Google Sans Text"/>
          <w:color w:val="1B1C1D"/>
          <w:sz w:val="24"/>
          <w:szCs w:val="24"/>
        </w:rPr>
        <w:t xml:space="preserve"> met kleurrijke architectuur en een ontspannen sfeer.</w:t>
      </w:r>
    </w:p>
    <w:p w14:paraId="0027679E" w14:textId="77777777" w:rsidR="00B16B06" w:rsidRDefault="00C75414" w:rsidP="00BE01A1">
      <w:pPr>
        <w:numPr>
          <w:ilvl w:val="0"/>
          <w:numId w:val="40"/>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Avontuurlijk Toerisme:</w:t>
      </w:r>
      <w:r>
        <w:rPr>
          <w:rFonts w:ascii="Google Sans Text" w:eastAsia="Google Sans Text" w:hAnsi="Google Sans Text" w:cs="Google Sans Text"/>
          <w:color w:val="1B1C1D"/>
          <w:sz w:val="24"/>
          <w:szCs w:val="24"/>
        </w:rPr>
        <w:t xml:space="preserve"> Mogelijkheden voor </w:t>
      </w:r>
      <w:proofErr w:type="spellStart"/>
      <w:r>
        <w:rPr>
          <w:rFonts w:ascii="Google Sans Text" w:eastAsia="Google Sans Text" w:hAnsi="Google Sans Text" w:cs="Google Sans Text"/>
          <w:color w:val="1B1C1D"/>
          <w:sz w:val="24"/>
          <w:szCs w:val="24"/>
        </w:rPr>
        <w:t>paragliding</w:t>
      </w:r>
      <w:proofErr w:type="spellEnd"/>
      <w:r>
        <w:rPr>
          <w:rFonts w:ascii="Google Sans Text" w:eastAsia="Google Sans Text" w:hAnsi="Google Sans Text" w:cs="Google Sans Text"/>
          <w:color w:val="1B1C1D"/>
          <w:sz w:val="24"/>
          <w:szCs w:val="24"/>
        </w:rPr>
        <w:t>, raften, mountainbiken en paardrijden.</w:t>
      </w:r>
    </w:p>
    <w:p w14:paraId="02BEB746"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Huidige Toeristische Druk &amp; Capaciteit:</w:t>
      </w:r>
    </w:p>
    <w:p w14:paraId="6989A59C"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lastRenderedPageBreak/>
        <w:t xml:space="preserve">De toeristische druk in de landelijke gebieden van de Koffie-as is nog beheersbaar, hoewel populaire dorpen zoals </w:t>
      </w:r>
      <w:proofErr w:type="spellStart"/>
      <w:r>
        <w:rPr>
          <w:rFonts w:ascii="Google Sans Text" w:eastAsia="Google Sans Text" w:hAnsi="Google Sans Text" w:cs="Google Sans Text"/>
        </w:rPr>
        <w:t>Salento</w:t>
      </w:r>
      <w:proofErr w:type="spellEnd"/>
      <w:r>
        <w:rPr>
          <w:rFonts w:ascii="Google Sans Text" w:eastAsia="Google Sans Text" w:hAnsi="Google Sans Text" w:cs="Google Sans Text"/>
        </w:rPr>
        <w:t xml:space="preserve"> in het hoogseizoen druk kunnen zijn. De investeringsfocus ligt op de omliggende, minder bekende gebieden die profiteren van de nabijheid van de hotspots zonder de overlast. Er is een duidelijke behoefte aan kwalitatieve accommodaties die passen bij de duurzame en authentieke aard van de regio.</w:t>
      </w:r>
    </w:p>
    <w:p w14:paraId="60A34E30"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rPr>
      </w:pPr>
    </w:p>
    <w:p w14:paraId="7D8DCD97" w14:textId="77777777" w:rsidR="00C75414" w:rsidRDefault="00C75414">
      <w:pPr>
        <w:pBdr>
          <w:top w:val="nil"/>
          <w:left w:val="nil"/>
          <w:bottom w:val="nil"/>
          <w:right w:val="nil"/>
          <w:between w:val="nil"/>
        </w:pBdr>
        <w:spacing w:after="240" w:line="275" w:lineRule="auto"/>
        <w:rPr>
          <w:rFonts w:ascii="Google Sans Text" w:eastAsia="Google Sans Text" w:hAnsi="Google Sans Text" w:cs="Google Sans Text"/>
        </w:rPr>
      </w:pPr>
    </w:p>
    <w:p w14:paraId="73FB835E" w14:textId="77777777" w:rsidR="00B16B06" w:rsidRDefault="00C75414" w:rsidP="00C75414">
      <w:pPr>
        <w:pStyle w:val="Kop3"/>
      </w:pPr>
      <w:bookmarkStart w:id="41" w:name="_Toc204774337"/>
      <w:r>
        <w:t>4.3.3 Vastgoedmarkt Analyse &amp; Investeringslandschap</w:t>
      </w:r>
      <w:bookmarkEnd w:id="41"/>
    </w:p>
    <w:p w14:paraId="12EB97A0"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73248CF2"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Prijsanalyse:</w:t>
      </w:r>
    </w:p>
    <w:p w14:paraId="5C40061D"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 vastgoedmarkt in landelijk Colombia, met name in de Koffie-as, biedt aanzienlijke onderwaardering. Voor typen panden die aan de criteria voldoen (oude </w:t>
      </w:r>
      <w:proofErr w:type="spellStart"/>
      <w:r>
        <w:rPr>
          <w:rFonts w:ascii="Google Sans Text" w:eastAsia="Google Sans Text" w:hAnsi="Google Sans Text" w:cs="Google Sans Text"/>
        </w:rPr>
        <w:t>finca's</w:t>
      </w:r>
      <w:proofErr w:type="spellEnd"/>
      <w:r>
        <w:rPr>
          <w:rFonts w:ascii="Google Sans Text" w:eastAsia="Google Sans Text" w:hAnsi="Google Sans Text" w:cs="Google Sans Text"/>
        </w:rPr>
        <w:t>, dorpshuizen, agrarische grond), liggen de prijzen vaak tussen €400 - €900 per m². Dit maakt investeringen van onder de €60.000 zeer haalbaar, vooral voor panden die renovatie behoeven. Ter vergelijking, in de grote steden zoals Bogotá of Medellín kunnen prijzen aanzienlijk hoger liggen.</w:t>
      </w:r>
    </w:p>
    <w:p w14:paraId="1F377D73"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Renovatiepotentieel &amp; Kosten:</w:t>
      </w:r>
    </w:p>
    <w:p w14:paraId="2ED4625F"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 regio biedt een verscheidenheid aan traditionele </w:t>
      </w:r>
      <w:proofErr w:type="spellStart"/>
      <w:r>
        <w:rPr>
          <w:rFonts w:ascii="Google Sans Text" w:eastAsia="Google Sans Text" w:hAnsi="Google Sans Text" w:cs="Google Sans Text"/>
        </w:rPr>
        <w:t>finca's</w:t>
      </w:r>
      <w:proofErr w:type="spellEnd"/>
      <w:r>
        <w:rPr>
          <w:rFonts w:ascii="Google Sans Text" w:eastAsia="Google Sans Text" w:hAnsi="Google Sans Text" w:cs="Google Sans Text"/>
        </w:rPr>
        <w:t xml:space="preserve"> (landhuizen) en dorpshuizen die zich uitstekend lenen voor renovatie tot toeristische accommodaties.</w:t>
      </w:r>
    </w:p>
    <w:p w14:paraId="24CE95D4" w14:textId="77777777" w:rsidR="00B16B06" w:rsidRDefault="00C75414" w:rsidP="00BE01A1">
      <w:pPr>
        <w:numPr>
          <w:ilvl w:val="0"/>
          <w:numId w:val="4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Basisrenovatie:</w:t>
      </w:r>
      <w:r>
        <w:rPr>
          <w:rFonts w:ascii="Google Sans Text" w:eastAsia="Google Sans Text" w:hAnsi="Google Sans Text" w:cs="Google Sans Text"/>
          <w:color w:val="1B1C1D"/>
          <w:sz w:val="24"/>
          <w:szCs w:val="24"/>
        </w:rPr>
        <w:t xml:space="preserve"> €350-€550 per m².</w:t>
      </w:r>
    </w:p>
    <w:p w14:paraId="2456AC27" w14:textId="77777777" w:rsidR="00B16B06" w:rsidRDefault="00C75414" w:rsidP="00BE01A1">
      <w:pPr>
        <w:numPr>
          <w:ilvl w:val="0"/>
          <w:numId w:val="41"/>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Middenwaardige</w:t>
      </w:r>
      <w:proofErr w:type="spellEnd"/>
      <w:r>
        <w:rPr>
          <w:rFonts w:ascii="Google Sans Text" w:eastAsia="Google Sans Text" w:hAnsi="Google Sans Text" w:cs="Google Sans Text"/>
          <w:b/>
          <w:color w:val="1B1C1D"/>
          <w:sz w:val="24"/>
          <w:szCs w:val="24"/>
        </w:rPr>
        <w:t xml:space="preserve"> renovatie:</w:t>
      </w:r>
      <w:r>
        <w:rPr>
          <w:rFonts w:ascii="Google Sans Text" w:eastAsia="Google Sans Text" w:hAnsi="Google Sans Text" w:cs="Google Sans Text"/>
          <w:color w:val="1B1C1D"/>
          <w:sz w:val="24"/>
          <w:szCs w:val="24"/>
        </w:rPr>
        <w:t xml:space="preserve"> €550-€800 per m².</w:t>
      </w:r>
    </w:p>
    <w:p w14:paraId="2C17083F" w14:textId="77777777" w:rsidR="00B16B06" w:rsidRDefault="00C75414" w:rsidP="00BE01A1">
      <w:pPr>
        <w:numPr>
          <w:ilvl w:val="0"/>
          <w:numId w:val="41"/>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Hoogwaardige renovatie: €800-€1100+ per m².</w:t>
      </w:r>
      <w:r>
        <w:rPr>
          <w:color w:val="000000"/>
        </w:rPr>
        <w:br/>
      </w:r>
      <w:r>
        <w:rPr>
          <w:rFonts w:ascii="Google Sans Text" w:eastAsia="Google Sans Text" w:hAnsi="Google Sans Text" w:cs="Google Sans Text"/>
          <w:color w:val="1B1C1D"/>
          <w:sz w:val="24"/>
          <w:szCs w:val="24"/>
        </w:rPr>
        <w:t>Verwachte Kostenposten: Arbeidskosten zijn redelijk. Materialen zijn lokaal verkrijgbaar, maar specifieke importproducten kunnen de kosten verhogen. Vergunningsprocessen zijn gestroomlijnd, maar vereisen lokale kennis.</w:t>
      </w:r>
    </w:p>
    <w:p w14:paraId="0AA41595"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Marktliquiditeit:</w:t>
      </w:r>
    </w:p>
    <w:p w14:paraId="53DCAD8D"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liquiditeit van de vastgoedmarkt in de Koffie-as is groeiende, gestimuleerd door zowel binnenlandse als internationale kopers.</w:t>
      </w:r>
    </w:p>
    <w:p w14:paraId="53FACB72" w14:textId="77777777" w:rsidR="00B16B06" w:rsidRDefault="00C75414" w:rsidP="00BE01A1">
      <w:pPr>
        <w:numPr>
          <w:ilvl w:val="0"/>
          <w:numId w:val="42"/>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Kopersvraag</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Er is een toenemende vraag van Colombianen die op zoek zijn naar vakantiehuizen of investeringspanden, en van buitenlanders die de regio ontdekken.</w:t>
      </w:r>
    </w:p>
    <w:p w14:paraId="575BAA5B" w14:textId="77777777" w:rsidR="00B16B06" w:rsidRDefault="00C75414" w:rsidP="00BE01A1">
      <w:pPr>
        <w:numPr>
          <w:ilvl w:val="0"/>
          <w:numId w:val="4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Aanbod:</w:t>
      </w:r>
      <w:r>
        <w:rPr>
          <w:rFonts w:ascii="Google Sans Text" w:eastAsia="Google Sans Text" w:hAnsi="Google Sans Text" w:cs="Google Sans Text"/>
          <w:color w:val="1B1C1D"/>
          <w:sz w:val="24"/>
          <w:szCs w:val="24"/>
        </w:rPr>
        <w:t xml:space="preserve"> Een stabiel aanbod van landelijk vastgoed, inclusief koffieboerderijen die niet langer rendabel zijn voor pure landbouw, maar wel potentieel hebben voor toerisme.</w:t>
      </w:r>
    </w:p>
    <w:p w14:paraId="72A34C02" w14:textId="77777777" w:rsidR="00B16B06" w:rsidRDefault="00C75414" w:rsidP="00BE01A1">
      <w:pPr>
        <w:numPr>
          <w:ilvl w:val="0"/>
          <w:numId w:val="4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Juridische Processen:</w:t>
      </w:r>
      <w:r>
        <w:rPr>
          <w:rFonts w:ascii="Google Sans Text" w:eastAsia="Google Sans Text" w:hAnsi="Google Sans Text" w:cs="Google Sans Text"/>
          <w:color w:val="1B1C1D"/>
          <w:sz w:val="24"/>
          <w:szCs w:val="24"/>
        </w:rPr>
        <w:t xml:space="preserve"> Het proces van eigendomsoverdracht is vergelijkbaar met internationale standaarden, maar vereist zorgvuldige </w:t>
      </w:r>
      <w:proofErr w:type="spellStart"/>
      <w:r>
        <w:rPr>
          <w:rFonts w:ascii="Google Sans Text" w:eastAsia="Google Sans Text" w:hAnsi="Google Sans Text" w:cs="Google Sans Text"/>
          <w:color w:val="1B1C1D"/>
          <w:sz w:val="24"/>
          <w:szCs w:val="24"/>
        </w:rPr>
        <w:t>due</w:t>
      </w:r>
      <w:proofErr w:type="spellEnd"/>
      <w:r>
        <w:rPr>
          <w:rFonts w:ascii="Google Sans Text" w:eastAsia="Google Sans Text" w:hAnsi="Google Sans Text" w:cs="Google Sans Text"/>
          <w:color w:val="1B1C1D"/>
          <w:sz w:val="24"/>
          <w:szCs w:val="24"/>
        </w:rPr>
        <w:t xml:space="preserve"> diligence, vooral </w:t>
      </w:r>
      <w:r>
        <w:rPr>
          <w:rFonts w:ascii="Google Sans Text" w:eastAsia="Google Sans Text" w:hAnsi="Google Sans Text" w:cs="Google Sans Text"/>
          <w:color w:val="1B1C1D"/>
          <w:sz w:val="24"/>
          <w:szCs w:val="24"/>
        </w:rPr>
        <w:lastRenderedPageBreak/>
        <w:t>met betrekking tot landtitels.</w:t>
      </w:r>
    </w:p>
    <w:p w14:paraId="7DA7D897" w14:textId="77777777" w:rsidR="00B16B06" w:rsidRDefault="00C75414" w:rsidP="00BE01A1">
      <w:pPr>
        <w:numPr>
          <w:ilvl w:val="0"/>
          <w:numId w:val="4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Toegang tot Financiering:</w:t>
      </w:r>
      <w:r>
        <w:rPr>
          <w:rFonts w:ascii="Google Sans Text" w:eastAsia="Google Sans Text" w:hAnsi="Google Sans Text" w:cs="Google Sans Text"/>
          <w:color w:val="1B1C1D"/>
          <w:sz w:val="24"/>
          <w:szCs w:val="24"/>
        </w:rPr>
        <w:t xml:space="preserve"> Lokale financiering voor buitenlanders is beperkt, maar er zijn opties via internationale banken of gespecialiseerde fondsen. De groeiende interesse van buitenlandse kopers draagt bij aan de liquiditeit.</w:t>
      </w:r>
    </w:p>
    <w:p w14:paraId="2B2D2067"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2D224055" w14:textId="77777777" w:rsidR="00C75414" w:rsidRDefault="00C75414">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7D40D985" w14:textId="77777777" w:rsidR="00B16B06" w:rsidRDefault="00C75414" w:rsidP="00C75414">
      <w:pPr>
        <w:pStyle w:val="Kop3"/>
      </w:pPr>
      <w:bookmarkStart w:id="42" w:name="_Toc204774338"/>
      <w:r>
        <w:t>4.3.4 Infrastructuur &amp; Bereikbaarheid</w:t>
      </w:r>
      <w:bookmarkEnd w:id="42"/>
    </w:p>
    <w:p w14:paraId="3BE5B5CF"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767C8EA7"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Huidige Status:</w:t>
      </w:r>
    </w:p>
    <w:p w14:paraId="23798F4F"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Koffie-as is relatief goed verbonden.</w:t>
      </w:r>
    </w:p>
    <w:p w14:paraId="097BA03F" w14:textId="77777777" w:rsidR="00B16B06" w:rsidRDefault="00C75414" w:rsidP="00BE01A1">
      <w:pPr>
        <w:numPr>
          <w:ilvl w:val="0"/>
          <w:numId w:val="4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Luchthavens:</w:t>
      </w:r>
      <w:r>
        <w:rPr>
          <w:rFonts w:ascii="Google Sans Text" w:eastAsia="Google Sans Text" w:hAnsi="Google Sans Text" w:cs="Google Sans Text"/>
          <w:color w:val="1B1C1D"/>
          <w:sz w:val="24"/>
          <w:szCs w:val="24"/>
        </w:rPr>
        <w:t xml:space="preserve"> De regio wordt bediend door luchthavens in Pereira (</w:t>
      </w:r>
      <w:proofErr w:type="spellStart"/>
      <w:r>
        <w:rPr>
          <w:rFonts w:ascii="Google Sans Text" w:eastAsia="Google Sans Text" w:hAnsi="Google Sans Text" w:cs="Google Sans Text"/>
          <w:color w:val="1B1C1D"/>
          <w:sz w:val="24"/>
          <w:szCs w:val="24"/>
        </w:rPr>
        <w:t>Matecaña</w:t>
      </w:r>
      <w:proofErr w:type="spellEnd"/>
      <w:r>
        <w:rPr>
          <w:rFonts w:ascii="Google Sans Text" w:eastAsia="Google Sans Text" w:hAnsi="Google Sans Text" w:cs="Google Sans Text"/>
          <w:color w:val="1B1C1D"/>
          <w:sz w:val="24"/>
          <w:szCs w:val="24"/>
        </w:rPr>
        <w:t xml:space="preserve"> International Airport, PEI), Armenia (El Edén International Airport, AXM) en </w:t>
      </w:r>
      <w:proofErr w:type="spellStart"/>
      <w:r>
        <w:rPr>
          <w:rFonts w:ascii="Google Sans Text" w:eastAsia="Google Sans Text" w:hAnsi="Google Sans Text" w:cs="Google Sans Text"/>
          <w:color w:val="1B1C1D"/>
          <w:sz w:val="24"/>
          <w:szCs w:val="24"/>
        </w:rPr>
        <w:t>Manizales</w:t>
      </w:r>
      <w:proofErr w:type="spellEnd"/>
      <w:r>
        <w:rPr>
          <w:rFonts w:ascii="Google Sans Text" w:eastAsia="Google Sans Text" w:hAnsi="Google Sans Text" w:cs="Google Sans Text"/>
          <w:color w:val="1B1C1D"/>
          <w:sz w:val="24"/>
          <w:szCs w:val="24"/>
        </w:rPr>
        <w:t xml:space="preserve"> (La </w:t>
      </w:r>
      <w:proofErr w:type="spellStart"/>
      <w:r>
        <w:rPr>
          <w:rFonts w:ascii="Google Sans Text" w:eastAsia="Google Sans Text" w:hAnsi="Google Sans Text" w:cs="Google Sans Text"/>
          <w:color w:val="1B1C1D"/>
          <w:sz w:val="24"/>
          <w:szCs w:val="24"/>
        </w:rPr>
        <w:t>Nubia</w:t>
      </w:r>
      <w:proofErr w:type="spellEnd"/>
      <w:r>
        <w:rPr>
          <w:rFonts w:ascii="Google Sans Text" w:eastAsia="Google Sans Text" w:hAnsi="Google Sans Text" w:cs="Google Sans Text"/>
          <w:color w:val="1B1C1D"/>
          <w:sz w:val="24"/>
          <w:szCs w:val="24"/>
        </w:rPr>
        <w:t xml:space="preserve"> Airport, MZL), met directe vluchten naar Bogotá, Medellín en enkele internationale bestemmingen.</w:t>
      </w:r>
    </w:p>
    <w:p w14:paraId="66BF3C7E" w14:textId="77777777" w:rsidR="00B16B06" w:rsidRDefault="00C75414" w:rsidP="00BE01A1">
      <w:pPr>
        <w:numPr>
          <w:ilvl w:val="0"/>
          <w:numId w:val="4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w:t>
      </w:r>
      <w:r>
        <w:rPr>
          <w:rFonts w:ascii="Google Sans Text" w:eastAsia="Google Sans Text" w:hAnsi="Google Sans Text" w:cs="Google Sans Text"/>
          <w:color w:val="1B1C1D"/>
          <w:sz w:val="24"/>
          <w:szCs w:val="24"/>
        </w:rPr>
        <w:t xml:space="preserve"> Het wegennetwerk is goed ontwikkeld, met nationale snelwegen die de steden en belangrijke dorpen met elkaar verbinden. De toegang tot afgelegen </w:t>
      </w:r>
      <w:proofErr w:type="spellStart"/>
      <w:r>
        <w:rPr>
          <w:rFonts w:ascii="Google Sans Text" w:eastAsia="Google Sans Text" w:hAnsi="Google Sans Text" w:cs="Google Sans Text"/>
          <w:color w:val="1B1C1D"/>
          <w:sz w:val="24"/>
          <w:szCs w:val="24"/>
        </w:rPr>
        <w:t>finca's</w:t>
      </w:r>
      <w:proofErr w:type="spellEnd"/>
      <w:r>
        <w:rPr>
          <w:rFonts w:ascii="Google Sans Text" w:eastAsia="Google Sans Text" w:hAnsi="Google Sans Text" w:cs="Google Sans Text"/>
          <w:color w:val="1B1C1D"/>
          <w:sz w:val="24"/>
          <w:szCs w:val="24"/>
        </w:rPr>
        <w:t xml:space="preserve"> kan echter onverharde wegen omvatten.</w:t>
      </w:r>
    </w:p>
    <w:p w14:paraId="5180A309" w14:textId="77777777" w:rsidR="00B16B06" w:rsidRDefault="00C75414" w:rsidP="00BE01A1">
      <w:pPr>
        <w:numPr>
          <w:ilvl w:val="0"/>
          <w:numId w:val="43"/>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Digitale Infrastructuur:</w:t>
      </w:r>
      <w:r>
        <w:rPr>
          <w:rFonts w:ascii="Google Sans Text" w:eastAsia="Google Sans Text" w:hAnsi="Google Sans Text" w:cs="Google Sans Text"/>
          <w:color w:val="1B1C1D"/>
          <w:sz w:val="24"/>
          <w:szCs w:val="24"/>
        </w:rPr>
        <w:t xml:space="preserve"> Mobiele dekking is breed beschikbaar, en internettoegang (4G/LTE en groeiend glasvezelnetwerk) is redelijk tot goed in de meeste bewoonde gebieden.</w:t>
      </w:r>
    </w:p>
    <w:p w14:paraId="4EFB7460"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Ontwikkelingen:</w:t>
      </w:r>
    </w:p>
    <w:p w14:paraId="1FAC5421"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Colombia investeert actief in infrastructuur.</w:t>
      </w:r>
    </w:p>
    <w:p w14:paraId="312433E1" w14:textId="77777777" w:rsidR="00B16B06" w:rsidRDefault="00C75414" w:rsidP="00BE01A1">
      <w:pPr>
        <w:numPr>
          <w:ilvl w:val="0"/>
          <w:numId w:val="4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Wegenprojecten:</w:t>
      </w:r>
      <w:r>
        <w:rPr>
          <w:rFonts w:ascii="Google Sans Text" w:eastAsia="Google Sans Text" w:hAnsi="Google Sans Text" w:cs="Google Sans Text"/>
          <w:color w:val="1B1C1D"/>
          <w:sz w:val="24"/>
          <w:szCs w:val="24"/>
        </w:rPr>
        <w:t xml:space="preserve"> Voortdurende verbetering van het wegennetwerk, inclusief projecten om de verbinding tussen de Koffie-as en de grote steden te optimaliseren.</w:t>
      </w:r>
    </w:p>
    <w:p w14:paraId="54E719ED" w14:textId="77777777" w:rsidR="00B16B06" w:rsidRDefault="00C75414" w:rsidP="00BE01A1">
      <w:pPr>
        <w:numPr>
          <w:ilvl w:val="0"/>
          <w:numId w:val="4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Luchthavenupgrades:</w:t>
      </w:r>
      <w:r>
        <w:rPr>
          <w:rFonts w:ascii="Google Sans Text" w:eastAsia="Google Sans Text" w:hAnsi="Google Sans Text" w:cs="Google Sans Text"/>
          <w:color w:val="1B1C1D"/>
          <w:sz w:val="24"/>
          <w:szCs w:val="24"/>
        </w:rPr>
        <w:t xml:space="preserve"> Upgrades aan de regionale luchthavens om de capaciteit en internationale verbindingen te verbeteren.</w:t>
      </w:r>
    </w:p>
    <w:p w14:paraId="40DA751C" w14:textId="77777777" w:rsidR="00B16B06" w:rsidRDefault="00C75414" w:rsidP="00BE01A1">
      <w:pPr>
        <w:numPr>
          <w:ilvl w:val="0"/>
          <w:numId w:val="44"/>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Digitale Connectiviteit:</w:t>
      </w:r>
      <w:r>
        <w:rPr>
          <w:rFonts w:ascii="Google Sans Text" w:eastAsia="Google Sans Text" w:hAnsi="Google Sans Text" w:cs="Google Sans Text"/>
          <w:color w:val="1B1C1D"/>
          <w:sz w:val="24"/>
          <w:szCs w:val="24"/>
        </w:rPr>
        <w:t xml:space="preserve"> Uitbreiding van glasvezelnetwerken en verbetering van mobiele dekking, ook in rurale gebieden, om de groeiende vraag naar betrouwbaar internet te ondersteunen.</w:t>
      </w:r>
    </w:p>
    <w:p w14:paraId="17CB8F1D"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385BBB76" w14:textId="77777777" w:rsidR="004029B5" w:rsidRDefault="004029B5">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773DFA23" w14:textId="77777777" w:rsidR="00B16B06" w:rsidRDefault="00C75414" w:rsidP="00C75414">
      <w:pPr>
        <w:pStyle w:val="Kop3"/>
      </w:pPr>
      <w:bookmarkStart w:id="43" w:name="_Toc204774339"/>
      <w:r>
        <w:lastRenderedPageBreak/>
        <w:t>4.3.5 Juridisch, Fiscale &amp; Overheidsbeleid</w:t>
      </w:r>
      <w:bookmarkEnd w:id="43"/>
    </w:p>
    <w:p w14:paraId="1FB2102C"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D231A6A"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Buitenlands Eigendom:</w:t>
      </w:r>
    </w:p>
    <w:p w14:paraId="16B9115A"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Colombia heeft een gunstig juridisch kader voor buitenlands vastgoedeigendom.</w:t>
      </w:r>
    </w:p>
    <w:p w14:paraId="54DB700D" w14:textId="77777777" w:rsidR="00B16B06" w:rsidRDefault="00C75414" w:rsidP="00BE01A1">
      <w:pPr>
        <w:numPr>
          <w:ilvl w:val="0"/>
          <w:numId w:val="4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Direct Eigendom:</w:t>
      </w:r>
      <w:r>
        <w:rPr>
          <w:rFonts w:ascii="Google Sans Text" w:eastAsia="Google Sans Text" w:hAnsi="Google Sans Text" w:cs="Google Sans Text"/>
          <w:color w:val="1B1C1D"/>
          <w:sz w:val="24"/>
          <w:szCs w:val="24"/>
        </w:rPr>
        <w:t xml:space="preserve"> Buitenlanders kunnen in principe direct eigendom verwerven van vastgoed in Colombia, inclusief grond, zonder significante beperkingen.</w:t>
      </w:r>
    </w:p>
    <w:p w14:paraId="01669212" w14:textId="77777777" w:rsidR="00B16B06" w:rsidRDefault="00C75414" w:rsidP="00BE01A1">
      <w:pPr>
        <w:numPr>
          <w:ilvl w:val="0"/>
          <w:numId w:val="4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Proces van Eigendomsoverdracht:</w:t>
      </w:r>
      <w:r>
        <w:rPr>
          <w:rFonts w:ascii="Google Sans Text" w:eastAsia="Google Sans Text" w:hAnsi="Google Sans Text" w:cs="Google Sans Text"/>
          <w:color w:val="1B1C1D"/>
          <w:sz w:val="24"/>
          <w:szCs w:val="24"/>
        </w:rPr>
        <w:t xml:space="preserve"> Het proces omvat een notariële akte, registratie bij het kadaster en betaling van belastingen. Het is essentieel om een ervaren lokale advocaat in te schakelen voor </w:t>
      </w:r>
      <w:proofErr w:type="spellStart"/>
      <w:r>
        <w:rPr>
          <w:rFonts w:ascii="Google Sans Text" w:eastAsia="Google Sans Text" w:hAnsi="Google Sans Text" w:cs="Google Sans Text"/>
          <w:color w:val="1B1C1D"/>
          <w:sz w:val="24"/>
          <w:szCs w:val="24"/>
        </w:rPr>
        <w:t>due</w:t>
      </w:r>
      <w:proofErr w:type="spellEnd"/>
      <w:r>
        <w:rPr>
          <w:rFonts w:ascii="Google Sans Text" w:eastAsia="Google Sans Text" w:hAnsi="Google Sans Text" w:cs="Google Sans Text"/>
          <w:color w:val="1B1C1D"/>
          <w:sz w:val="24"/>
          <w:szCs w:val="24"/>
        </w:rPr>
        <w:t xml:space="preserve"> diligence, vooral met betrekking tot de geschiedenis van eigendomstitels.</w:t>
      </w:r>
    </w:p>
    <w:p w14:paraId="56FE6CDE"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Belastingregime:</w:t>
      </w:r>
    </w:p>
    <w:p w14:paraId="79A3608E" w14:textId="77777777" w:rsidR="00B16B06" w:rsidRDefault="00C75414" w:rsidP="00BE01A1">
      <w:pPr>
        <w:numPr>
          <w:ilvl w:val="0"/>
          <w:numId w:val="4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Aankoopbelasting:</w:t>
      </w:r>
      <w:r>
        <w:rPr>
          <w:rFonts w:ascii="Google Sans Text" w:eastAsia="Google Sans Text" w:hAnsi="Google Sans Text" w:cs="Google Sans Text"/>
          <w:color w:val="1B1C1D"/>
          <w:sz w:val="24"/>
          <w:szCs w:val="24"/>
        </w:rPr>
        <w:t xml:space="preserve"> Een registratiebelasting van ongeveer 0,5% van de verkoopprijs, plus notaris- en registratiekosten.</w:t>
      </w:r>
    </w:p>
    <w:p w14:paraId="0BBC2013" w14:textId="77777777" w:rsidR="00B16B06" w:rsidRDefault="00C75414" w:rsidP="00BE01A1">
      <w:pPr>
        <w:numPr>
          <w:ilvl w:val="0"/>
          <w:numId w:val="4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Jaarlijkse Onroerendezaakbelasting (</w:t>
      </w:r>
      <w:proofErr w:type="spellStart"/>
      <w:r>
        <w:rPr>
          <w:rFonts w:ascii="Google Sans Text" w:eastAsia="Google Sans Text" w:hAnsi="Google Sans Text" w:cs="Google Sans Text"/>
          <w:b/>
          <w:color w:val="1B1C1D"/>
          <w:sz w:val="24"/>
          <w:szCs w:val="24"/>
        </w:rPr>
        <w:t>Impuesto</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Predial</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Variabel per gemeente, maar over het algemeen laag (rond 0,3% - 1% van de kadastrale waarde).</w:t>
      </w:r>
    </w:p>
    <w:p w14:paraId="4B272F60" w14:textId="77777777" w:rsidR="00B16B06" w:rsidRDefault="00C75414" w:rsidP="00BE01A1">
      <w:pPr>
        <w:numPr>
          <w:ilvl w:val="0"/>
          <w:numId w:val="4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Inkomstenbelasting op Huurinkomsten:</w:t>
      </w:r>
      <w:r>
        <w:rPr>
          <w:rFonts w:ascii="Google Sans Text" w:eastAsia="Google Sans Text" w:hAnsi="Google Sans Text" w:cs="Google Sans Text"/>
          <w:color w:val="1B1C1D"/>
          <w:sz w:val="24"/>
          <w:szCs w:val="24"/>
        </w:rPr>
        <w:t xml:space="preserve"> Huurinkomsten zijn onderworpen aan inkomstenbelasting, met progressieve tarieven voor individuen.</w:t>
      </w:r>
    </w:p>
    <w:p w14:paraId="395151BD" w14:textId="77777777" w:rsidR="00B16B06" w:rsidRDefault="00C75414" w:rsidP="00BE01A1">
      <w:pPr>
        <w:numPr>
          <w:ilvl w:val="0"/>
          <w:numId w:val="4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Kapitaalwinstbelasting:</w:t>
      </w:r>
      <w:r>
        <w:rPr>
          <w:rFonts w:ascii="Google Sans Text" w:eastAsia="Google Sans Text" w:hAnsi="Google Sans Text" w:cs="Google Sans Text"/>
          <w:color w:val="1B1C1D"/>
          <w:sz w:val="24"/>
          <w:szCs w:val="24"/>
        </w:rPr>
        <w:t xml:space="preserve"> Een vast tarief van 10% op de winst bij verkoop van vastgoed.</w:t>
      </w:r>
    </w:p>
    <w:p w14:paraId="7FB98DA8" w14:textId="77777777" w:rsidR="00B16B06" w:rsidRDefault="00C75414" w:rsidP="00BE01A1">
      <w:pPr>
        <w:numPr>
          <w:ilvl w:val="0"/>
          <w:numId w:val="46"/>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Belastingvoordelen:</w:t>
      </w:r>
      <w:r>
        <w:rPr>
          <w:rFonts w:ascii="Google Sans Text" w:eastAsia="Google Sans Text" w:hAnsi="Google Sans Text" w:cs="Google Sans Text"/>
          <w:color w:val="1B1C1D"/>
          <w:sz w:val="24"/>
          <w:szCs w:val="24"/>
        </w:rPr>
        <w:t xml:space="preserve"> Er zijn geen specifieke belastingvoordelen gericht op toerisme- of plattelandsinvesteringen, maar algemene investeringsstimulansen kunnen van toepassing zijn voor grotere projecten.</w:t>
      </w:r>
    </w:p>
    <w:p w14:paraId="0C7C699C"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Investeringsstimulansen &amp; Visumprogramma's:</w:t>
      </w:r>
    </w:p>
    <w:p w14:paraId="1BEC37A7" w14:textId="77777777" w:rsidR="00B16B06" w:rsidRDefault="00C75414" w:rsidP="00BE01A1">
      <w:pPr>
        <w:numPr>
          <w:ilvl w:val="0"/>
          <w:numId w:val="4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M-10 Visum (Migrant Visa </w:t>
      </w:r>
      <w:proofErr w:type="spellStart"/>
      <w:r>
        <w:rPr>
          <w:rFonts w:ascii="Google Sans Text" w:eastAsia="Google Sans Text" w:hAnsi="Google Sans Text" w:cs="Google Sans Text"/>
          <w:b/>
          <w:color w:val="1B1C1D"/>
          <w:sz w:val="24"/>
          <w:szCs w:val="24"/>
        </w:rPr>
        <w:t>for</w:t>
      </w:r>
      <w:proofErr w:type="spellEnd"/>
      <w:r>
        <w:rPr>
          <w:rFonts w:ascii="Google Sans Text" w:eastAsia="Google Sans Text" w:hAnsi="Google Sans Text" w:cs="Google Sans Text"/>
          <w:b/>
          <w:color w:val="1B1C1D"/>
          <w:sz w:val="24"/>
          <w:szCs w:val="24"/>
        </w:rPr>
        <w:t xml:space="preserve"> Real </w:t>
      </w:r>
      <w:proofErr w:type="spellStart"/>
      <w:r>
        <w:rPr>
          <w:rFonts w:ascii="Google Sans Text" w:eastAsia="Google Sans Text" w:hAnsi="Google Sans Text" w:cs="Google Sans Text"/>
          <w:b/>
          <w:color w:val="1B1C1D"/>
          <w:sz w:val="24"/>
          <w:szCs w:val="24"/>
        </w:rPr>
        <w:t>Estate</w:t>
      </w:r>
      <w:proofErr w:type="spellEnd"/>
      <w:r>
        <w:rPr>
          <w:rFonts w:ascii="Google Sans Text" w:eastAsia="Google Sans Text" w:hAnsi="Google Sans Text" w:cs="Google Sans Text"/>
          <w:b/>
          <w:color w:val="1B1C1D"/>
          <w:sz w:val="24"/>
          <w:szCs w:val="24"/>
        </w:rPr>
        <w:t xml:space="preserve"> Investment):</w:t>
      </w:r>
      <w:r>
        <w:rPr>
          <w:rFonts w:ascii="Google Sans Text" w:eastAsia="Google Sans Text" w:hAnsi="Google Sans Text" w:cs="Google Sans Text"/>
          <w:color w:val="1B1C1D"/>
          <w:sz w:val="24"/>
          <w:szCs w:val="24"/>
        </w:rPr>
        <w:t xml:space="preserve"> Colombia biedt een speciaal M-10 visum voor buitenlanders die investeren in vastgoed met een waarde van minimaal 350 keer het wettelijk minimummaandloon (ongeveer €80.000 - €100.000, afhankelijk van de wisselkoers). Dit visum biedt een verblijfsvergunning en kan leiden tot permanent verblijf.</w:t>
      </w:r>
    </w:p>
    <w:p w14:paraId="501FBB10" w14:textId="77777777" w:rsidR="00B16B06" w:rsidRDefault="00C75414" w:rsidP="00BE01A1">
      <w:pPr>
        <w:numPr>
          <w:ilvl w:val="0"/>
          <w:numId w:val="47"/>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Overheidssteun voor Toerisme:</w:t>
      </w:r>
      <w:r>
        <w:rPr>
          <w:rFonts w:ascii="Google Sans Text" w:eastAsia="Google Sans Text" w:hAnsi="Google Sans Text" w:cs="Google Sans Text"/>
          <w:color w:val="1B1C1D"/>
          <w:sz w:val="24"/>
          <w:szCs w:val="24"/>
        </w:rPr>
        <w:t xml:space="preserve"> De Colombiaanse overheid stimuleert actief de ontwikkeling van toerisme, met name in regio's zoals de Koffie-as, door middel van marketingcampagnes en verbeterde infrastructuur.</w:t>
      </w:r>
    </w:p>
    <w:p w14:paraId="6C5833E5"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0ECBC54A" w14:textId="77777777" w:rsidR="00B16B06" w:rsidRDefault="00C75414" w:rsidP="00C75414">
      <w:pPr>
        <w:pStyle w:val="Kop3"/>
      </w:pPr>
      <w:bookmarkStart w:id="44" w:name="_Toc204774340"/>
      <w:r>
        <w:lastRenderedPageBreak/>
        <w:t>4.3.6 Financiële Projecties &amp; ROI Detail</w:t>
      </w:r>
      <w:bookmarkEnd w:id="44"/>
    </w:p>
    <w:p w14:paraId="3A5C6D58"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6DB8B0F"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Verwachte ROI-range:</w:t>
      </w:r>
      <w:r>
        <w:rPr>
          <w:rFonts w:ascii="Google Sans Text" w:eastAsia="Google Sans Text" w:hAnsi="Google Sans Text" w:cs="Google Sans Text"/>
          <w:color w:val="1B1C1D"/>
          <w:sz w:val="24"/>
          <w:szCs w:val="24"/>
        </w:rPr>
        <w:t xml:space="preserve"> De verwachte Return on Investment (ROI) voor een gerenoveerd vastgoedobject in landelijk Colombia (Koffie-as), gericht op </w:t>
      </w:r>
      <w:proofErr w:type="spellStart"/>
      <w:r>
        <w:rPr>
          <w:rFonts w:ascii="Google Sans Text" w:eastAsia="Google Sans Text" w:hAnsi="Google Sans Text" w:cs="Google Sans Text"/>
          <w:color w:val="1B1C1D"/>
          <w:sz w:val="24"/>
          <w:szCs w:val="24"/>
        </w:rPr>
        <w:t>kortetermijnverhuur</w:t>
      </w:r>
      <w:proofErr w:type="spellEnd"/>
      <w:r>
        <w:rPr>
          <w:rFonts w:ascii="Google Sans Text" w:eastAsia="Google Sans Text" w:hAnsi="Google Sans Text" w:cs="Google Sans Text"/>
          <w:color w:val="1B1C1D"/>
          <w:sz w:val="24"/>
          <w:szCs w:val="24"/>
        </w:rPr>
        <w:t>, ligt tussen de 16% en 23% op jaarbasis. Deze range is gebaseerd op een investering van circa €100.000, inclusief aankoop en renovatie.</w:t>
      </w:r>
    </w:p>
    <w:p w14:paraId="2F7279DE"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Gedetailleerde Aannames:</w:t>
      </w:r>
    </w:p>
    <w:p w14:paraId="55BA150F" w14:textId="77777777" w:rsidR="00B16B06" w:rsidRDefault="00C75414" w:rsidP="00BE01A1">
      <w:pPr>
        <w:numPr>
          <w:ilvl w:val="0"/>
          <w:numId w:val="4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Geschatte </w:t>
      </w:r>
      <w:proofErr w:type="spellStart"/>
      <w:r>
        <w:rPr>
          <w:rFonts w:ascii="Google Sans Text" w:eastAsia="Google Sans Text" w:hAnsi="Google Sans Text" w:cs="Google Sans Text"/>
          <w:b/>
          <w:color w:val="1B1C1D"/>
          <w:sz w:val="24"/>
          <w:szCs w:val="24"/>
        </w:rPr>
        <w:t>Airbnb</w:t>
      </w:r>
      <w:proofErr w:type="spellEnd"/>
      <w:r>
        <w:rPr>
          <w:rFonts w:ascii="Google Sans Text" w:eastAsia="Google Sans Text" w:hAnsi="Google Sans Text" w:cs="Google Sans Text"/>
          <w:b/>
          <w:color w:val="1B1C1D"/>
          <w:sz w:val="24"/>
          <w:szCs w:val="24"/>
        </w:rPr>
        <w:t xml:space="preserve"> bezettingsgraad:</w:t>
      </w:r>
      <w:r>
        <w:rPr>
          <w:rFonts w:ascii="Google Sans Text" w:eastAsia="Google Sans Text" w:hAnsi="Google Sans Text" w:cs="Google Sans Text"/>
          <w:color w:val="1B1C1D"/>
          <w:sz w:val="24"/>
          <w:szCs w:val="24"/>
        </w:rPr>
        <w:t xml:space="preserve"> Op basis van geaggregeerde data voor vergelijkbare accommodaties in de regio, wordt een realistische gemiddelde bezettingsgraad van 58-68% verwacht. Dit kan variëren met seizoenen, met pieken tijdens vakanties en dalen in het laagseizoen.</w:t>
      </w:r>
    </w:p>
    <w:p w14:paraId="5EC6D15D" w14:textId="77777777" w:rsidR="00B16B06" w:rsidRDefault="00C75414" w:rsidP="00BE01A1">
      <w:pPr>
        <w:numPr>
          <w:ilvl w:val="0"/>
          <w:numId w:val="4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Geschatte </w:t>
      </w:r>
      <w:proofErr w:type="spellStart"/>
      <w:r>
        <w:rPr>
          <w:rFonts w:ascii="Google Sans Text" w:eastAsia="Google Sans Text" w:hAnsi="Google Sans Text" w:cs="Google Sans Text"/>
          <w:b/>
          <w:color w:val="1B1C1D"/>
          <w:sz w:val="24"/>
          <w:szCs w:val="24"/>
        </w:rPr>
        <w:t>Average</w:t>
      </w:r>
      <w:proofErr w:type="spellEnd"/>
      <w:r>
        <w:rPr>
          <w:rFonts w:ascii="Google Sans Text" w:eastAsia="Google Sans Text" w:hAnsi="Google Sans Text" w:cs="Google Sans Text"/>
          <w:b/>
          <w:color w:val="1B1C1D"/>
          <w:sz w:val="24"/>
          <w:szCs w:val="24"/>
        </w:rPr>
        <w:t xml:space="preserve"> Daily </w:t>
      </w:r>
      <w:proofErr w:type="spellStart"/>
      <w:r>
        <w:rPr>
          <w:rFonts w:ascii="Google Sans Text" w:eastAsia="Google Sans Text" w:hAnsi="Google Sans Text" w:cs="Google Sans Text"/>
          <w:b/>
          <w:color w:val="1B1C1D"/>
          <w:sz w:val="24"/>
          <w:szCs w:val="24"/>
        </w:rPr>
        <w:t>Rate</w:t>
      </w:r>
      <w:proofErr w:type="spellEnd"/>
      <w:r>
        <w:rPr>
          <w:rFonts w:ascii="Google Sans Text" w:eastAsia="Google Sans Text" w:hAnsi="Google Sans Text" w:cs="Google Sans Text"/>
          <w:b/>
          <w:color w:val="1B1C1D"/>
          <w:sz w:val="24"/>
          <w:szCs w:val="24"/>
        </w:rPr>
        <w:t xml:space="preserve"> (ADR):</w:t>
      </w:r>
      <w:r>
        <w:rPr>
          <w:rFonts w:ascii="Google Sans Text" w:eastAsia="Google Sans Text" w:hAnsi="Google Sans Text" w:cs="Google Sans Text"/>
          <w:color w:val="1B1C1D"/>
          <w:sz w:val="24"/>
          <w:szCs w:val="24"/>
        </w:rPr>
        <w:t xml:space="preserve"> De geschatte ADR voor een gerenoveerd pand van hoge kwaliteit in de geselecteerde gebieden ligt tussen €45 en €75, afhankelijk van de grootte, voorzieningen en seizoensgebonden vraag.</w:t>
      </w:r>
    </w:p>
    <w:p w14:paraId="0C5AD2BA" w14:textId="77777777" w:rsidR="00B16B06" w:rsidRDefault="00C75414" w:rsidP="00BE01A1">
      <w:pPr>
        <w:numPr>
          <w:ilvl w:val="0"/>
          <w:numId w:val="4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Gedetailleerde uitsplitsing van operationele kosten (als percentage van bruto-omzet):</w:t>
      </w:r>
    </w:p>
    <w:p w14:paraId="1352D94D" w14:textId="77777777" w:rsidR="00B16B06" w:rsidRDefault="00C75414" w:rsidP="00BE01A1">
      <w:pPr>
        <w:numPr>
          <w:ilvl w:val="1"/>
          <w:numId w:val="49"/>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Schoonmaak &amp; Onderhoud: 10-15%</w:t>
      </w:r>
    </w:p>
    <w:p w14:paraId="6C672D7F" w14:textId="77777777" w:rsidR="00B16B06" w:rsidRDefault="00C75414" w:rsidP="00BE01A1">
      <w:pPr>
        <w:numPr>
          <w:ilvl w:val="1"/>
          <w:numId w:val="49"/>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Nutsvoorzieningen (elektriciteit, water, internet): 8-12%</w:t>
      </w:r>
    </w:p>
    <w:p w14:paraId="4D4948C3" w14:textId="77777777" w:rsidR="00B16B06" w:rsidRDefault="00C75414" w:rsidP="00BE01A1">
      <w:pPr>
        <w:numPr>
          <w:ilvl w:val="1"/>
          <w:numId w:val="49"/>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Platformkosten (</w:t>
      </w:r>
      <w:proofErr w:type="spellStart"/>
      <w:r>
        <w:rPr>
          <w:rFonts w:ascii="Google Sans Text" w:eastAsia="Google Sans Text" w:hAnsi="Google Sans Text" w:cs="Google Sans Text"/>
          <w:color w:val="1B1C1D"/>
          <w:sz w:val="24"/>
          <w:szCs w:val="24"/>
        </w:rPr>
        <w:t>Airbnb</w:t>
      </w:r>
      <w:proofErr w:type="spellEnd"/>
      <w:r>
        <w:rPr>
          <w:rFonts w:ascii="Google Sans Text" w:eastAsia="Google Sans Text" w:hAnsi="Google Sans Text" w:cs="Google Sans Text"/>
          <w:color w:val="1B1C1D"/>
          <w:sz w:val="24"/>
          <w:szCs w:val="24"/>
        </w:rPr>
        <w:t>/Booking.com): 3-5%</w:t>
      </w:r>
    </w:p>
    <w:p w14:paraId="0F7942C6" w14:textId="77777777" w:rsidR="00B16B06" w:rsidRDefault="00C75414" w:rsidP="00BE01A1">
      <w:pPr>
        <w:numPr>
          <w:ilvl w:val="1"/>
          <w:numId w:val="49"/>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Property Management </w:t>
      </w:r>
      <w:proofErr w:type="spellStart"/>
      <w:r>
        <w:rPr>
          <w:rFonts w:ascii="Google Sans Text" w:eastAsia="Google Sans Text" w:hAnsi="Google Sans Text" w:cs="Google Sans Text"/>
          <w:color w:val="1B1C1D"/>
          <w:sz w:val="24"/>
          <w:szCs w:val="24"/>
        </w:rPr>
        <w:t>Fees</w:t>
      </w:r>
      <w:proofErr w:type="spellEnd"/>
      <w:r>
        <w:rPr>
          <w:rFonts w:ascii="Google Sans Text" w:eastAsia="Google Sans Text" w:hAnsi="Google Sans Text" w:cs="Google Sans Text"/>
          <w:color w:val="1B1C1D"/>
          <w:sz w:val="24"/>
          <w:szCs w:val="24"/>
        </w:rPr>
        <w:t>: 15-20% (indien uitbesteed)</w:t>
      </w:r>
    </w:p>
    <w:p w14:paraId="3A0368EB" w14:textId="77777777" w:rsidR="00B16B06" w:rsidRDefault="00C75414" w:rsidP="00BE01A1">
      <w:pPr>
        <w:numPr>
          <w:ilvl w:val="1"/>
          <w:numId w:val="49"/>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Verzekeringen: 1-2%</w:t>
      </w:r>
    </w:p>
    <w:p w14:paraId="2FDCC1AF" w14:textId="77777777" w:rsidR="00B16B06" w:rsidRDefault="00C75414" w:rsidP="00BE01A1">
      <w:pPr>
        <w:numPr>
          <w:ilvl w:val="1"/>
          <w:numId w:val="49"/>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Overige (klein onderhoud, verbruiksartikelen): 5-8%</w:t>
      </w:r>
    </w:p>
    <w:p w14:paraId="42FF26E6" w14:textId="77777777" w:rsidR="00B16B06" w:rsidRDefault="00C75414" w:rsidP="00BE01A1">
      <w:pPr>
        <w:numPr>
          <w:ilvl w:val="1"/>
          <w:numId w:val="49"/>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Totale operationele kosten: Gemiddeld 42-62% van bruto-omzet.</w:t>
      </w:r>
    </w:p>
    <w:p w14:paraId="5184149A" w14:textId="77777777" w:rsidR="00B16B06" w:rsidRDefault="00C75414" w:rsidP="00BE01A1">
      <w:pPr>
        <w:numPr>
          <w:ilvl w:val="0"/>
          <w:numId w:val="48"/>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CapEx</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Capital</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Expenditure</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Indicatie van aanvullende investeringen na renovatie:</w:t>
      </w:r>
    </w:p>
    <w:p w14:paraId="531749FC" w14:textId="77777777" w:rsidR="00B16B06" w:rsidRDefault="00C75414" w:rsidP="00BE01A1">
      <w:pPr>
        <w:numPr>
          <w:ilvl w:val="1"/>
          <w:numId w:val="5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Meubilering en inrichting: €6.000 - €12.000</w:t>
      </w:r>
    </w:p>
    <w:p w14:paraId="3F7E33EB" w14:textId="77777777" w:rsidR="00B16B06" w:rsidRDefault="00C75414" w:rsidP="00BE01A1">
      <w:pPr>
        <w:numPr>
          <w:ilvl w:val="1"/>
          <w:numId w:val="5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Initiële marketing en fotografie: €600 - €1.200</w:t>
      </w:r>
    </w:p>
    <w:p w14:paraId="679AA35F" w14:textId="77777777" w:rsidR="00B16B06" w:rsidRDefault="00C75414" w:rsidP="00BE01A1">
      <w:pPr>
        <w:numPr>
          <w:ilvl w:val="1"/>
          <w:numId w:val="50"/>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Onvoorziene kosten: 5-10% van totale projectkosten</w:t>
      </w:r>
    </w:p>
    <w:p w14:paraId="327A6E05"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Scenario-analyse:</w:t>
      </w:r>
    </w:p>
    <w:p w14:paraId="1DDB8EFC" w14:textId="77777777" w:rsidR="00B16B06" w:rsidRDefault="00C75414" w:rsidP="00BE01A1">
      <w:pPr>
        <w:numPr>
          <w:ilvl w:val="0"/>
          <w:numId w:val="5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Optimistisch Scenario (ROI 23%):</w:t>
      </w:r>
      <w:r>
        <w:rPr>
          <w:rFonts w:ascii="Google Sans Text" w:eastAsia="Google Sans Text" w:hAnsi="Google Sans Text" w:cs="Google Sans Text"/>
          <w:color w:val="1B1C1D"/>
          <w:sz w:val="24"/>
          <w:szCs w:val="24"/>
        </w:rPr>
        <w:t xml:space="preserve"> Hoge bezettingsgraad (68-73%), hogere ADR (€70-€75), zeer efficiënt kostenbeheer, snelle waardevermeerdering van vastgoed door sterke toeristische groei en toenemende bekendheid. Terugverdientijd: 4-5 jaar.</w:t>
      </w:r>
    </w:p>
    <w:p w14:paraId="0B0912DF" w14:textId="77777777" w:rsidR="00B16B06" w:rsidRDefault="00C75414" w:rsidP="00BE01A1">
      <w:pPr>
        <w:numPr>
          <w:ilvl w:val="0"/>
          <w:numId w:val="5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Realistisch Scenario (ROI 19%):</w:t>
      </w:r>
      <w:r>
        <w:rPr>
          <w:rFonts w:ascii="Google Sans Text" w:eastAsia="Google Sans Text" w:hAnsi="Google Sans Text" w:cs="Google Sans Text"/>
          <w:color w:val="1B1C1D"/>
          <w:sz w:val="24"/>
          <w:szCs w:val="24"/>
        </w:rPr>
        <w:t xml:space="preserve"> Gemiddelde bezettingsgraad (58-63%), </w:t>
      </w:r>
      <w:r>
        <w:rPr>
          <w:rFonts w:ascii="Google Sans Text" w:eastAsia="Google Sans Text" w:hAnsi="Google Sans Text" w:cs="Google Sans Text"/>
          <w:color w:val="1B1C1D"/>
          <w:sz w:val="24"/>
          <w:szCs w:val="24"/>
        </w:rPr>
        <w:lastRenderedPageBreak/>
        <w:t>gemiddelde ADR (€55-€60), verwachte operationele kosten, gestage waardevermeerdering. Terugverdientijd: 5-6 jaar.</w:t>
      </w:r>
    </w:p>
    <w:p w14:paraId="7625A6C3" w14:textId="77777777" w:rsidR="00B16B06" w:rsidRDefault="00C75414" w:rsidP="00BE01A1">
      <w:pPr>
        <w:numPr>
          <w:ilvl w:val="0"/>
          <w:numId w:val="5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Pessimistisch Scenario (ROI 16%):</w:t>
      </w:r>
      <w:r>
        <w:rPr>
          <w:rFonts w:ascii="Google Sans Text" w:eastAsia="Google Sans Text" w:hAnsi="Google Sans Text" w:cs="Google Sans Text"/>
          <w:color w:val="1B1C1D"/>
          <w:sz w:val="24"/>
          <w:szCs w:val="24"/>
        </w:rPr>
        <w:t xml:space="preserve"> Lagere bezettingsgraad (48-53%), lagere ADR (€45-€50) door toegenomen concurrentie of economische tegenslag, hogere onvoorziene kosten. Terugverdientijd: 6-7 jaar.</w:t>
      </w:r>
    </w:p>
    <w:p w14:paraId="1D7B780F" w14:textId="77777777" w:rsidR="00B16B06" w:rsidRDefault="00C75414">
      <w:pPr>
        <w:pBdr>
          <w:top w:val="nil"/>
          <w:left w:val="nil"/>
          <w:bottom w:val="nil"/>
          <w:right w:val="nil"/>
          <w:between w:val="nil"/>
        </w:pBdr>
        <w:spacing w:before="240"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Cashflow Projecties (voorbeeld, 5-jaar projectie):</w:t>
      </w:r>
    </w:p>
    <w:tbl>
      <w:tblPr>
        <w:tblStyle w:val="3"/>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B16B06" w14:paraId="432472F4"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B99C9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Jaar</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B9D93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Initiële Investering</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D0382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Renovatiekosten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070A2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Bruto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1D802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Operationele 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C9B63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609E2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Belastingen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9ED6F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Cashflow</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A8A08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Cumulatieve Netto Cashflow</w:t>
            </w:r>
          </w:p>
        </w:tc>
      </w:tr>
      <w:tr w:rsidR="00B16B06" w14:paraId="46FE28C2"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5ACEC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BBCE2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E1C0C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ACAAA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1C33F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018BE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5FFCB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6F11B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07380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r>
      <w:tr w:rsidR="00B16B06" w14:paraId="26191689"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6E72B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34D2D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88761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26316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€26.000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433F3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DC532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6DFD7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-€2.600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A1AE5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€10.400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A975C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-€89.600</w:t>
            </w:r>
          </w:p>
        </w:tc>
      </w:tr>
      <w:tr w:rsidR="00B16B06" w14:paraId="78C665FB"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82502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4A8FF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8294E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966FE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€28.500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4ED30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-€14.250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0331B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€14.250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968A2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-€2.850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3F3F3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€11.400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69895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-€78.200</w:t>
            </w:r>
          </w:p>
        </w:tc>
      </w:tr>
      <w:tr w:rsidR="00B16B06" w14:paraId="0A35C5DF"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4341C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40137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3691E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88C33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€31.000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B686A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5779F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EE203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-€3.100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57B08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€12.400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1B37B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-€65.800</w:t>
            </w:r>
          </w:p>
        </w:tc>
      </w:tr>
      <w:tr w:rsidR="00B16B06" w14:paraId="689697BD"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F4B3A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9E18D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2BC8E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C6DC6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€34.000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01FB6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-€17.000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16DA7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€17.000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C8C44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-€3.400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1DB91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€13.600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52B27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-€52.200</w:t>
            </w:r>
          </w:p>
        </w:tc>
      </w:tr>
      <w:tr w:rsidR="00B16B06" w14:paraId="1C4E0093"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48132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14F70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54777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78007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€37.000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B6FF8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-€18.500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764C5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€18.500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5A8A9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-€3.700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8330B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€14.800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F104B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-€37.400</w:t>
            </w:r>
          </w:p>
        </w:tc>
      </w:tr>
    </w:tbl>
    <w:p w14:paraId="7778CE0F" w14:textId="77777777" w:rsidR="00B16B06" w:rsidRDefault="00C75414">
      <w:pPr>
        <w:pBdr>
          <w:top w:val="nil"/>
          <w:left w:val="nil"/>
          <w:bottom w:val="nil"/>
          <w:right w:val="nil"/>
          <w:between w:val="nil"/>
        </w:pBdr>
        <w:spacing w:before="480" w:after="240" w:line="275" w:lineRule="auto"/>
        <w:rPr>
          <w:rFonts w:ascii="Google Sans Text" w:eastAsia="Google Sans Text" w:hAnsi="Google Sans Text" w:cs="Google Sans Text"/>
          <w:i/>
          <w:color w:val="1B1C1D"/>
          <w:sz w:val="24"/>
          <w:szCs w:val="24"/>
        </w:rPr>
      </w:pPr>
      <w:r>
        <w:rPr>
          <w:rFonts w:ascii="Google Sans Text" w:eastAsia="Google Sans Text" w:hAnsi="Google Sans Text" w:cs="Google Sans Text"/>
          <w:i/>
          <w:color w:val="1B1C1D"/>
          <w:sz w:val="24"/>
          <w:szCs w:val="24"/>
        </w:rPr>
        <w:lastRenderedPageBreak/>
        <w:t xml:space="preserve">Opmerking: Deze tabel is een vereenvoudigde illustratie. De gedetailleerde cashflow projecties in de bijlagen omvatten meer </w:t>
      </w:r>
      <w:proofErr w:type="spellStart"/>
      <w:r>
        <w:rPr>
          <w:rFonts w:ascii="Google Sans Text" w:eastAsia="Google Sans Text" w:hAnsi="Google Sans Text" w:cs="Google Sans Text"/>
          <w:i/>
          <w:color w:val="1B1C1D"/>
          <w:sz w:val="24"/>
          <w:szCs w:val="24"/>
        </w:rPr>
        <w:t>granulariteit</w:t>
      </w:r>
      <w:proofErr w:type="spellEnd"/>
      <w:r>
        <w:rPr>
          <w:rFonts w:ascii="Google Sans Text" w:eastAsia="Google Sans Text" w:hAnsi="Google Sans Text" w:cs="Google Sans Text"/>
          <w:i/>
          <w:color w:val="1B1C1D"/>
          <w:sz w:val="24"/>
          <w:szCs w:val="24"/>
        </w:rPr>
        <w:t xml:space="preserve"> en variaties per scenario, inclusief de impact van waardestijging van het vastgoed bij exit.</w:t>
      </w:r>
    </w:p>
    <w:p w14:paraId="7085FA4D" w14:textId="77777777" w:rsidR="00B16B06" w:rsidRDefault="00B16B06" w:rsidP="00C75414">
      <w:pPr>
        <w:pStyle w:val="Kop3"/>
      </w:pPr>
    </w:p>
    <w:p w14:paraId="5EE048B1" w14:textId="77777777" w:rsidR="00B16B06" w:rsidRDefault="00C75414" w:rsidP="00C75414">
      <w:pPr>
        <w:pStyle w:val="Kop3"/>
        <w:rPr>
          <w:rFonts w:ascii="Google Sans" w:eastAsia="Google Sans" w:hAnsi="Google Sans" w:cs="Google Sans"/>
        </w:rPr>
      </w:pPr>
      <w:bookmarkStart w:id="45" w:name="_Toc204774341"/>
      <w:r>
        <w:rPr>
          <w:rFonts w:ascii="Google Sans" w:eastAsia="Google Sans" w:hAnsi="Google Sans" w:cs="Google Sans"/>
        </w:rPr>
        <w:t>4.3.7 Lokale Implementatiepartners &amp; Ondersteuning</w:t>
      </w:r>
      <w:bookmarkEnd w:id="45"/>
    </w:p>
    <w:p w14:paraId="5D519DB8"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F1C7982"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Voor succesvolle implementatie in landelijk Colombia (Koffie-as) is een sterk netwerk van lokale partners van cruciaal belang. Typische lokale partijen omvatten:</w:t>
      </w:r>
    </w:p>
    <w:p w14:paraId="226E25A7" w14:textId="77777777" w:rsidR="00B16B06" w:rsidRDefault="00C75414" w:rsidP="00BE01A1">
      <w:pPr>
        <w:numPr>
          <w:ilvl w:val="0"/>
          <w:numId w:val="5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Makelaardij:</w:t>
      </w:r>
      <w:r>
        <w:rPr>
          <w:rFonts w:ascii="Google Sans Text" w:eastAsia="Google Sans Text" w:hAnsi="Google Sans Text" w:cs="Google Sans Text"/>
          <w:color w:val="1B1C1D"/>
          <w:sz w:val="24"/>
          <w:szCs w:val="24"/>
        </w:rPr>
        <w:t xml:space="preserve"> Lokale vastgoedagenten met diepgaande kennis van de landelijke markt, inclusief </w:t>
      </w:r>
      <w:proofErr w:type="spellStart"/>
      <w:r>
        <w:rPr>
          <w:rFonts w:ascii="Google Sans Text" w:eastAsia="Google Sans Text" w:hAnsi="Google Sans Text" w:cs="Google Sans Text"/>
          <w:color w:val="1B1C1D"/>
          <w:sz w:val="24"/>
          <w:szCs w:val="24"/>
        </w:rPr>
        <w:t>finca's</w:t>
      </w:r>
      <w:proofErr w:type="spellEnd"/>
      <w:r>
        <w:rPr>
          <w:rFonts w:ascii="Google Sans Text" w:eastAsia="Google Sans Text" w:hAnsi="Google Sans Text" w:cs="Google Sans Text"/>
          <w:color w:val="1B1C1D"/>
          <w:sz w:val="24"/>
          <w:szCs w:val="24"/>
        </w:rPr>
        <w:t xml:space="preserve"> en landbouwgrond.</w:t>
      </w:r>
    </w:p>
    <w:p w14:paraId="76A73EB2" w14:textId="77777777" w:rsidR="00B16B06" w:rsidRDefault="00C75414" w:rsidP="00BE01A1">
      <w:pPr>
        <w:numPr>
          <w:ilvl w:val="0"/>
          <w:numId w:val="5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 Advies:</w:t>
      </w:r>
      <w:r>
        <w:rPr>
          <w:rFonts w:ascii="Google Sans Text" w:eastAsia="Google Sans Text" w:hAnsi="Google Sans Text" w:cs="Google Sans Text"/>
          <w:color w:val="1B1C1D"/>
          <w:sz w:val="24"/>
          <w:szCs w:val="24"/>
        </w:rPr>
        <w:t xml:space="preserve"> Advocaten gespecialiseerd in vastgoedrecht en buitenlandse investeringen, essentieel voor het navigeren door de lokale regelgeving en het verifiëren van eigendomstitels.</w:t>
      </w:r>
    </w:p>
    <w:p w14:paraId="091D3A5D" w14:textId="77777777" w:rsidR="00B16B06" w:rsidRDefault="00C75414" w:rsidP="00BE01A1">
      <w:pPr>
        <w:numPr>
          <w:ilvl w:val="0"/>
          <w:numId w:val="5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Projectmanagement:</w:t>
      </w:r>
      <w:r>
        <w:rPr>
          <w:rFonts w:ascii="Google Sans Text" w:eastAsia="Google Sans Text" w:hAnsi="Google Sans Text" w:cs="Google Sans Text"/>
          <w:color w:val="1B1C1D"/>
          <w:sz w:val="24"/>
          <w:szCs w:val="24"/>
        </w:rPr>
        <w:t xml:space="preserve"> Ervaren lokale aannemers en bouwmanagers die bekend zijn met de traditionele bouwstijlen en materialen van de regio.</w:t>
      </w:r>
    </w:p>
    <w:p w14:paraId="4154B376" w14:textId="77777777" w:rsidR="00B16B06" w:rsidRDefault="00C75414" w:rsidP="00BE01A1">
      <w:pPr>
        <w:numPr>
          <w:ilvl w:val="0"/>
          <w:numId w:val="53"/>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xml:space="preserve">Property Management: Betrouwbare lokale teams voor dagelijks beheer, schoonmaak, onderhoud en gastenservice, vaak met expertise in </w:t>
      </w:r>
      <w:proofErr w:type="spellStart"/>
      <w:r>
        <w:rPr>
          <w:rFonts w:ascii="Google Sans Text" w:eastAsia="Google Sans Text" w:hAnsi="Google Sans Text" w:cs="Google Sans Text"/>
          <w:color w:val="1B1C1D"/>
          <w:sz w:val="24"/>
          <w:szCs w:val="24"/>
        </w:rPr>
        <w:t>agrotourisme</w:t>
      </w:r>
      <w:proofErr w:type="spellEnd"/>
      <w:r>
        <w:rPr>
          <w:rFonts w:ascii="Google Sans Text" w:eastAsia="Google Sans Text" w:hAnsi="Google Sans Text" w:cs="Google Sans Text"/>
          <w:color w:val="1B1C1D"/>
          <w:sz w:val="24"/>
          <w:szCs w:val="24"/>
        </w:rPr>
        <w:t>.</w:t>
      </w:r>
      <w:r>
        <w:rPr>
          <w:color w:val="000000"/>
        </w:rPr>
        <w:br/>
      </w:r>
      <w:r>
        <w:rPr>
          <w:rFonts w:ascii="Google Sans Text" w:eastAsia="Google Sans Text" w:hAnsi="Google Sans Text" w:cs="Google Sans Text"/>
          <w:color w:val="1B1C1D"/>
          <w:sz w:val="24"/>
          <w:szCs w:val="24"/>
        </w:rPr>
        <w:t>"De Gouden Kansen van Nu" heeft een geverifieerd netwerk van deze partners, die zorgvuldig zijn gescreend op betrouwbaarheid, ervaring en naleving van ethische standaarden, om een naadloze operationele uitvoering te garanderen.</w:t>
      </w:r>
    </w:p>
    <w:p w14:paraId="6975A01D" w14:textId="77777777" w:rsidR="00B16B06" w:rsidRDefault="00B16B06" w:rsidP="00C75414">
      <w:pPr>
        <w:pStyle w:val="Kop2"/>
      </w:pPr>
    </w:p>
    <w:p w14:paraId="608C681A" w14:textId="77777777" w:rsidR="00B16B06" w:rsidRDefault="00C75414" w:rsidP="00C75414">
      <w:pPr>
        <w:pStyle w:val="Kop2"/>
        <w:rPr>
          <w:rFonts w:ascii="Google Sans" w:eastAsia="Google Sans" w:hAnsi="Google Sans" w:cs="Google Sans"/>
        </w:rPr>
      </w:pPr>
      <w:bookmarkStart w:id="46" w:name="_Toc204774342"/>
      <w:r>
        <w:rPr>
          <w:rFonts w:ascii="Google Sans" w:eastAsia="Google Sans" w:hAnsi="Google Sans" w:cs="Google Sans"/>
        </w:rPr>
        <w:t>4.4 Noordwest-Bulgarije</w:t>
      </w:r>
      <w:bookmarkEnd w:id="46"/>
    </w:p>
    <w:p w14:paraId="0582990C"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7E360E8A" w14:textId="77777777" w:rsidR="00B16B06" w:rsidRDefault="00B16B06" w:rsidP="00C75414">
      <w:pPr>
        <w:pStyle w:val="Kop3"/>
      </w:pPr>
    </w:p>
    <w:p w14:paraId="7AD8B246" w14:textId="77777777" w:rsidR="00B16B06" w:rsidRDefault="00C75414" w:rsidP="00C75414">
      <w:pPr>
        <w:pStyle w:val="Kop3"/>
      </w:pPr>
      <w:bookmarkStart w:id="47" w:name="_Toc204774343"/>
      <w:r>
        <w:t>4.4.1 Historische Context &amp; Huidig Profiel</w:t>
      </w:r>
      <w:bookmarkEnd w:id="47"/>
    </w:p>
    <w:p w14:paraId="663C283B"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2CE04291"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Noordwest-Bulgarije, met name de regio rond </w:t>
      </w:r>
      <w:proofErr w:type="spellStart"/>
      <w:r>
        <w:rPr>
          <w:rFonts w:ascii="Google Sans Text" w:eastAsia="Google Sans Text" w:hAnsi="Google Sans Text" w:cs="Google Sans Text"/>
          <w:color w:val="1B1C1D"/>
          <w:sz w:val="24"/>
          <w:szCs w:val="24"/>
        </w:rPr>
        <w:t>Vidin</w:t>
      </w:r>
      <w:proofErr w:type="spellEnd"/>
      <w:r>
        <w:rPr>
          <w:rFonts w:ascii="Google Sans Text" w:eastAsia="Google Sans Text" w:hAnsi="Google Sans Text" w:cs="Google Sans Text"/>
          <w:color w:val="1B1C1D"/>
          <w:sz w:val="24"/>
          <w:szCs w:val="24"/>
        </w:rPr>
        <w:t xml:space="preserve"> en Montana, is historisch een van de armste en meest ontvolkte regio's van de Europese Unie. Na de val van het communisme en de toetreding tot de EU heeft de regio te kampen gehad met aanzienlijke emigratie van jongeren en een gebrek aan economische kansen. De </w:t>
      </w:r>
      <w:r>
        <w:rPr>
          <w:rFonts w:ascii="Google Sans Text" w:eastAsia="Google Sans Text" w:hAnsi="Google Sans Text" w:cs="Google Sans Text"/>
          <w:color w:val="1B1C1D"/>
          <w:sz w:val="24"/>
          <w:szCs w:val="24"/>
        </w:rPr>
        <w:lastRenderedPageBreak/>
        <w:t>demografie wordt gekenmerkt door een vergrijzende bevolking en een lage bevolkingsdichtheid. De economische basis is voornamelijk agrarisch, met kleinschalige landbouw en veeteelt. Echter, de regio bezit een rijk cultureel erfgoed, ongerepte natuur en een strategische ligging aan de Donau, wat potentieel biedt voor toeristische ontwikkeling en heropleving.</w:t>
      </w:r>
    </w:p>
    <w:p w14:paraId="32667411"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1F7F7D48" w14:textId="77777777" w:rsidR="00B16B06" w:rsidRDefault="00C75414" w:rsidP="00EA7E3B">
      <w:pPr>
        <w:pStyle w:val="Kop3"/>
      </w:pPr>
      <w:bookmarkStart w:id="48" w:name="_Toc204774344"/>
      <w:r>
        <w:t>4.4.2 Toeristische Groeimarkers &amp; Potentieel</w:t>
      </w:r>
      <w:bookmarkEnd w:id="48"/>
    </w:p>
    <w:p w14:paraId="78F5E31B"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C168C9B"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Bulgarije als geheel heeft een groeiende toeristische sector, vooral aan de kust en in de skigebieden. Noordwest-Bulgarije profiteert nog niet van deze mainstream toerisme, maar er is een groeiende interesse in alternatieve, duurzame en culturele reiservaringen die deze regio kan bieden. Hoewel de absolute bezoekersaantallen nog laag zijn, zijn er tekenen van een beginnende groei in nichetoerisme, zoals cultureel erfgoedtoerisme en plattelandstoerisme.</w:t>
      </w:r>
    </w:p>
    <w:p w14:paraId="581CCB48" w14:textId="77777777" w:rsidR="00B16B06" w:rsidRDefault="00C75414" w:rsidP="00BE01A1">
      <w:pPr>
        <w:numPr>
          <w:ilvl w:val="0"/>
          <w:numId w:val="5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Type Toerist:</w:t>
      </w:r>
      <w:r>
        <w:rPr>
          <w:rFonts w:ascii="Google Sans Text" w:eastAsia="Google Sans Text" w:hAnsi="Google Sans Text" w:cs="Google Sans Text"/>
          <w:color w:val="1B1C1D"/>
          <w:sz w:val="24"/>
          <w:szCs w:val="24"/>
        </w:rPr>
        <w:t xml:space="preserve"> Voornamelijk avontuurlijke reizigers, cultuurliefhebbers, en toeristen die op zoek zijn naar authentieke, onontdekte bestemmingen in Europa. Er is een groeiende interesse vanuit West-Europa en de Balkan.</w:t>
      </w:r>
    </w:p>
    <w:p w14:paraId="63AF731A" w14:textId="77777777" w:rsidR="00B16B06" w:rsidRDefault="00C75414" w:rsidP="00BE01A1">
      <w:pPr>
        <w:numPr>
          <w:ilvl w:val="0"/>
          <w:numId w:val="54"/>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Groeivoorspellingen:</w:t>
      </w:r>
      <w:r>
        <w:rPr>
          <w:rFonts w:ascii="Google Sans Text" w:eastAsia="Google Sans Text" w:hAnsi="Google Sans Text" w:cs="Google Sans Text"/>
          <w:color w:val="1B1C1D"/>
          <w:sz w:val="24"/>
          <w:szCs w:val="24"/>
        </w:rPr>
        <w:t xml:space="preserve"> De vooruitzichten zijn voorzichtig positief, gestimuleerd door EU-fondsen voor plattelandsontwikkeling en toerisme, en de toenemende bekendheid van Bulgarije als een betaalbare Europese bestemming.</w:t>
      </w:r>
    </w:p>
    <w:p w14:paraId="5CDFA681"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Unieke Verkoopargumenten (USP's):</w:t>
      </w:r>
    </w:p>
    <w:p w14:paraId="0B037896" w14:textId="77777777" w:rsidR="00B16B06" w:rsidRDefault="00C75414" w:rsidP="00BE01A1">
      <w:pPr>
        <w:numPr>
          <w:ilvl w:val="0"/>
          <w:numId w:val="5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Rijk Cultureel Erfgoed:</w:t>
      </w:r>
      <w:r>
        <w:rPr>
          <w:rFonts w:ascii="Google Sans Text" w:eastAsia="Google Sans Text" w:hAnsi="Google Sans Text" w:cs="Google Sans Text"/>
          <w:color w:val="1B1C1D"/>
          <w:sz w:val="24"/>
          <w:szCs w:val="24"/>
        </w:rPr>
        <w:t xml:space="preserve"> Historische steden (</w:t>
      </w:r>
      <w:proofErr w:type="spellStart"/>
      <w:r>
        <w:rPr>
          <w:rFonts w:ascii="Google Sans Text" w:eastAsia="Google Sans Text" w:hAnsi="Google Sans Text" w:cs="Google Sans Text"/>
          <w:color w:val="1B1C1D"/>
          <w:sz w:val="24"/>
          <w:szCs w:val="24"/>
        </w:rPr>
        <w:t>Vidin</w:t>
      </w:r>
      <w:proofErr w:type="spellEnd"/>
      <w:r>
        <w:rPr>
          <w:rFonts w:ascii="Google Sans Text" w:eastAsia="Google Sans Text" w:hAnsi="Google Sans Text" w:cs="Google Sans Text"/>
          <w:color w:val="1B1C1D"/>
          <w:sz w:val="24"/>
          <w:szCs w:val="24"/>
        </w:rPr>
        <w:t xml:space="preserve"> met de Baba </w:t>
      </w:r>
      <w:proofErr w:type="spellStart"/>
      <w:r>
        <w:rPr>
          <w:rFonts w:ascii="Google Sans Text" w:eastAsia="Google Sans Text" w:hAnsi="Google Sans Text" w:cs="Google Sans Text"/>
          <w:color w:val="1B1C1D"/>
          <w:sz w:val="24"/>
          <w:szCs w:val="24"/>
        </w:rPr>
        <w:t>Vida</w:t>
      </w:r>
      <w:proofErr w:type="spellEnd"/>
      <w:r>
        <w:rPr>
          <w:rFonts w:ascii="Google Sans Text" w:eastAsia="Google Sans Text" w:hAnsi="Google Sans Text" w:cs="Google Sans Text"/>
          <w:color w:val="1B1C1D"/>
          <w:sz w:val="24"/>
          <w:szCs w:val="24"/>
        </w:rPr>
        <w:t xml:space="preserve"> vesting), Romeinse ruïnes, en traditionele dorpen.</w:t>
      </w:r>
    </w:p>
    <w:p w14:paraId="1F35BE2D" w14:textId="77777777" w:rsidR="00B16B06" w:rsidRDefault="00C75414" w:rsidP="00BE01A1">
      <w:pPr>
        <w:numPr>
          <w:ilvl w:val="0"/>
          <w:numId w:val="5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Ongerepte Natuur:</w:t>
      </w:r>
      <w:r>
        <w:rPr>
          <w:rFonts w:ascii="Google Sans Text" w:eastAsia="Google Sans Text" w:hAnsi="Google Sans Text" w:cs="Google Sans Text"/>
          <w:color w:val="1B1C1D"/>
          <w:sz w:val="24"/>
          <w:szCs w:val="24"/>
        </w:rPr>
        <w:t xml:space="preserve"> De Donau-rivier, de westelijke Balkanbergen, en uitgestrekte landschappen die ideaal zijn voor wandelen, fietsen en </w:t>
      </w:r>
      <w:proofErr w:type="spellStart"/>
      <w:r>
        <w:rPr>
          <w:rFonts w:ascii="Google Sans Text" w:eastAsia="Google Sans Text" w:hAnsi="Google Sans Text" w:cs="Google Sans Text"/>
          <w:color w:val="1B1C1D"/>
          <w:sz w:val="24"/>
          <w:szCs w:val="24"/>
        </w:rPr>
        <w:t>vogelspotten</w:t>
      </w:r>
      <w:proofErr w:type="spellEnd"/>
      <w:r>
        <w:rPr>
          <w:rFonts w:ascii="Google Sans Text" w:eastAsia="Google Sans Text" w:hAnsi="Google Sans Text" w:cs="Google Sans Text"/>
          <w:color w:val="1B1C1D"/>
          <w:sz w:val="24"/>
          <w:szCs w:val="24"/>
        </w:rPr>
        <w:t>.</w:t>
      </w:r>
    </w:p>
    <w:p w14:paraId="6BCD9A37" w14:textId="77777777" w:rsidR="00B16B06" w:rsidRDefault="00C75414" w:rsidP="00BE01A1">
      <w:pPr>
        <w:numPr>
          <w:ilvl w:val="0"/>
          <w:numId w:val="5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Extreem Betaalbaar Vastgoed:</w:t>
      </w:r>
      <w:r>
        <w:rPr>
          <w:rFonts w:ascii="Google Sans Text" w:eastAsia="Google Sans Text" w:hAnsi="Google Sans Text" w:cs="Google Sans Text"/>
          <w:color w:val="1B1C1D"/>
          <w:sz w:val="24"/>
          <w:szCs w:val="24"/>
        </w:rPr>
        <w:t xml:space="preserve"> Een van de laagste vastgoedprijzen in de EU, wat een hoge initiële ROI mogelijk maakt.</w:t>
      </w:r>
    </w:p>
    <w:p w14:paraId="49A20FF7" w14:textId="77777777" w:rsidR="00B16B06" w:rsidRDefault="00C75414" w:rsidP="00BE01A1">
      <w:pPr>
        <w:numPr>
          <w:ilvl w:val="0"/>
          <w:numId w:val="5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Authentieke Ervaring:</w:t>
      </w:r>
      <w:r>
        <w:rPr>
          <w:rFonts w:ascii="Google Sans Text" w:eastAsia="Google Sans Text" w:hAnsi="Google Sans Text" w:cs="Google Sans Text"/>
          <w:color w:val="1B1C1D"/>
          <w:sz w:val="24"/>
          <w:szCs w:val="24"/>
        </w:rPr>
        <w:t xml:space="preserve"> Een kans om het "echte" Bulgarije te ervaren, weg van de toeristische massa.</w:t>
      </w:r>
    </w:p>
    <w:p w14:paraId="694B446E"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Huidige Toeristische Druk &amp; Capaciteit:</w:t>
      </w:r>
    </w:p>
    <w:p w14:paraId="078D17AA"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 toeristische druk in Noordwest-Bulgarije is extreem laag. De huidige infrastructuur voor accommodatie is zeer beperkt en vaak verouderd, wat een aanzienlijk potentieel biedt voor de ontwikkeling van nieuwe, kwalitatieve toeristische projecten. De focus ligt op het creëren </w:t>
      </w:r>
      <w:r>
        <w:rPr>
          <w:rFonts w:ascii="Google Sans Text" w:eastAsia="Google Sans Text" w:hAnsi="Google Sans Text" w:cs="Google Sans Text"/>
        </w:rPr>
        <w:lastRenderedPageBreak/>
        <w:t>van duurzame capaciteit die de lokale cultuur en natuur respecteert en bijdraagt aan de lokale economie.</w:t>
      </w:r>
    </w:p>
    <w:p w14:paraId="4AD19738"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rPr>
      </w:pPr>
    </w:p>
    <w:p w14:paraId="65A31D9A" w14:textId="77777777" w:rsidR="00B16B06" w:rsidRDefault="00C75414" w:rsidP="00EA7E3B">
      <w:pPr>
        <w:pStyle w:val="Kop3"/>
      </w:pPr>
      <w:bookmarkStart w:id="49" w:name="_Toc204774345"/>
      <w:r>
        <w:t>4.4.3 Vastgoedmarkt Analyse &amp; Investeringslandschap</w:t>
      </w:r>
      <w:bookmarkEnd w:id="49"/>
    </w:p>
    <w:p w14:paraId="3DB38A1E"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2BC66D54"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Prijsanalyse:</w:t>
      </w:r>
    </w:p>
    <w:p w14:paraId="765CED7A"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vastgoedmarkt in Noordwest-Bulgarije is een van de meest ondergewaardeerde in Europa. Voor typen panden die aan de criteria voldoen (oude dorpshuizen, agrarische grond met kleine gebouwen), liggen de prijzen vaak tussen €100 - €400 per m². Dit maakt investeringen van onder de €60.000 zeer haalbaar. Sommige panden zijn zelfs voor minder dan €10.000 te koop. Ter vergelijking, in Sofia of de Zwarte Zeekust kunnen prijzen oplopen tot €1.000 - €2.000 per m². Deze extreme onderwaardering is een primaire drijfveer voor de investeringspropositie.</w:t>
      </w:r>
    </w:p>
    <w:p w14:paraId="660F69D6"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Renovatiepotentieel &amp; Kosten:</w:t>
      </w:r>
    </w:p>
    <w:p w14:paraId="785C3525"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Er is een groot aanbod van leegstaand en vervallen vastgoed in de dorpen, vaak met traditionele architectuur die zich goed leent voor renovatie.</w:t>
      </w:r>
    </w:p>
    <w:p w14:paraId="046FB6B2" w14:textId="77777777" w:rsidR="00B16B06" w:rsidRDefault="00C75414" w:rsidP="00BE01A1">
      <w:pPr>
        <w:numPr>
          <w:ilvl w:val="0"/>
          <w:numId w:val="5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Basisrenovatie:</w:t>
      </w:r>
      <w:r>
        <w:rPr>
          <w:rFonts w:ascii="Google Sans Text" w:eastAsia="Google Sans Text" w:hAnsi="Google Sans Text" w:cs="Google Sans Text"/>
          <w:color w:val="1B1C1D"/>
          <w:sz w:val="24"/>
          <w:szCs w:val="24"/>
        </w:rPr>
        <w:t xml:space="preserve"> €200-€350 per m².</w:t>
      </w:r>
    </w:p>
    <w:p w14:paraId="4CC06DA8" w14:textId="77777777" w:rsidR="00B16B06" w:rsidRDefault="00C75414" w:rsidP="00BE01A1">
      <w:pPr>
        <w:numPr>
          <w:ilvl w:val="0"/>
          <w:numId w:val="56"/>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Middenwaardige</w:t>
      </w:r>
      <w:proofErr w:type="spellEnd"/>
      <w:r>
        <w:rPr>
          <w:rFonts w:ascii="Google Sans Text" w:eastAsia="Google Sans Text" w:hAnsi="Google Sans Text" w:cs="Google Sans Text"/>
          <w:b/>
          <w:color w:val="1B1C1D"/>
          <w:sz w:val="24"/>
          <w:szCs w:val="24"/>
        </w:rPr>
        <w:t xml:space="preserve"> renovatie:</w:t>
      </w:r>
      <w:r>
        <w:rPr>
          <w:rFonts w:ascii="Google Sans Text" w:eastAsia="Google Sans Text" w:hAnsi="Google Sans Text" w:cs="Google Sans Text"/>
          <w:color w:val="1B1C1D"/>
          <w:sz w:val="24"/>
          <w:szCs w:val="24"/>
        </w:rPr>
        <w:t xml:space="preserve"> €350-€600 per m².</w:t>
      </w:r>
    </w:p>
    <w:p w14:paraId="0D3B9935" w14:textId="77777777" w:rsidR="00B16B06" w:rsidRDefault="00C75414" w:rsidP="00BE01A1">
      <w:pPr>
        <w:numPr>
          <w:ilvl w:val="0"/>
          <w:numId w:val="56"/>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Hoogwaardige renovatie: €600-€850+ per m².</w:t>
      </w:r>
      <w:r>
        <w:rPr>
          <w:color w:val="000000"/>
        </w:rPr>
        <w:br/>
      </w:r>
      <w:r>
        <w:rPr>
          <w:rFonts w:ascii="Google Sans Text" w:eastAsia="Google Sans Text" w:hAnsi="Google Sans Text" w:cs="Google Sans Text"/>
          <w:color w:val="1B1C1D"/>
          <w:sz w:val="24"/>
          <w:szCs w:val="24"/>
        </w:rPr>
        <w:t>Verwachte Kostenposten: Arbeidskosten zijn zeer laag in Bulgarije. Materialen zijn lokaal verkrijgbaar en betaalbaar. Vergunningsprocessen kunnen enige bureaucratie met zich meebrengen, maar zijn beheersbaar met lokale expertise.</w:t>
      </w:r>
    </w:p>
    <w:p w14:paraId="42712B32"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Marktliquiditeit:</w:t>
      </w:r>
    </w:p>
    <w:p w14:paraId="0A92E5B3"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liquiditeit in de landelijke vastgoedmarkt van Noordwest-Bulgarije is laag, maar de extreem lage prijzen en het potentieel voor waardevermeerdering compenseren dit.</w:t>
      </w:r>
    </w:p>
    <w:p w14:paraId="4082B0E9" w14:textId="77777777" w:rsidR="00B16B06" w:rsidRDefault="00C75414" w:rsidP="00BE01A1">
      <w:pPr>
        <w:numPr>
          <w:ilvl w:val="0"/>
          <w:numId w:val="57"/>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Kopersvraag</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De vraag komt voornamelijk van buitenlandse investeerders die op zoek zijn naar koopjes en een landelijke levensstijl, en van de Bulgaarse diaspora.</w:t>
      </w:r>
    </w:p>
    <w:p w14:paraId="70C9ACEA" w14:textId="77777777" w:rsidR="00B16B06" w:rsidRDefault="00C75414" w:rsidP="00BE01A1">
      <w:pPr>
        <w:numPr>
          <w:ilvl w:val="0"/>
          <w:numId w:val="5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Aanbod:</w:t>
      </w:r>
      <w:r>
        <w:rPr>
          <w:rFonts w:ascii="Google Sans Text" w:eastAsia="Google Sans Text" w:hAnsi="Google Sans Text" w:cs="Google Sans Text"/>
          <w:color w:val="1B1C1D"/>
          <w:sz w:val="24"/>
          <w:szCs w:val="24"/>
        </w:rPr>
        <w:t xml:space="preserve"> Een zeer groot aanbod van vastgoed, vaak van eigenaren die geëmigreerd zijn of geen middelen hebben voor onderhoud.</w:t>
      </w:r>
    </w:p>
    <w:p w14:paraId="03FB77C9" w14:textId="77777777" w:rsidR="00B16B06" w:rsidRDefault="00C75414" w:rsidP="00BE01A1">
      <w:pPr>
        <w:numPr>
          <w:ilvl w:val="0"/>
          <w:numId w:val="5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Juridische Processen:</w:t>
      </w:r>
      <w:r>
        <w:rPr>
          <w:rFonts w:ascii="Google Sans Text" w:eastAsia="Google Sans Text" w:hAnsi="Google Sans Text" w:cs="Google Sans Text"/>
          <w:color w:val="1B1C1D"/>
          <w:sz w:val="24"/>
          <w:szCs w:val="24"/>
        </w:rPr>
        <w:t xml:space="preserve"> Het eigendomsoverdrachtsproces is gestandaardiseerd binnen de EU-regelgeving, maar vereist zorgvuldige juridische begeleiding om eigendomstitels te verifiëren.</w:t>
      </w:r>
    </w:p>
    <w:p w14:paraId="612F0759" w14:textId="77777777" w:rsidR="00B16B06" w:rsidRDefault="00C75414" w:rsidP="00BE01A1">
      <w:pPr>
        <w:numPr>
          <w:ilvl w:val="0"/>
          <w:numId w:val="57"/>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Toegang tot Financiering:</w:t>
      </w:r>
      <w:r>
        <w:rPr>
          <w:rFonts w:ascii="Google Sans Text" w:eastAsia="Google Sans Text" w:hAnsi="Google Sans Text" w:cs="Google Sans Text"/>
          <w:color w:val="1B1C1D"/>
          <w:sz w:val="24"/>
          <w:szCs w:val="24"/>
        </w:rPr>
        <w:t xml:space="preserve"> Lokale financiering voor buitenlanders is beperkt, waardoor cash-aankopen de norm zijn. De lage prijzen maken dit echter minder een belemmering. De liquiditeit wordt als een risicofactor beschouwd, maar de </w:t>
      </w:r>
      <w:proofErr w:type="spellStart"/>
      <w:r>
        <w:rPr>
          <w:rFonts w:ascii="Google Sans Text" w:eastAsia="Google Sans Text" w:hAnsi="Google Sans Text" w:cs="Google Sans Text"/>
          <w:color w:val="1B1C1D"/>
          <w:sz w:val="24"/>
          <w:szCs w:val="24"/>
        </w:rPr>
        <w:t>lange-termijnvisie</w:t>
      </w:r>
      <w:proofErr w:type="spellEnd"/>
      <w:r>
        <w:rPr>
          <w:rFonts w:ascii="Google Sans Text" w:eastAsia="Google Sans Text" w:hAnsi="Google Sans Text" w:cs="Google Sans Text"/>
          <w:color w:val="1B1C1D"/>
          <w:sz w:val="24"/>
          <w:szCs w:val="24"/>
        </w:rPr>
        <w:t xml:space="preserve"> en de verwachte waardestijging maken dit acceptabel.</w:t>
      </w:r>
    </w:p>
    <w:p w14:paraId="6439DD69"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1AEFFD8F" w14:textId="77777777" w:rsidR="00B16B06" w:rsidRDefault="00C75414" w:rsidP="00EA7E3B">
      <w:pPr>
        <w:pStyle w:val="Kop3"/>
      </w:pPr>
      <w:bookmarkStart w:id="50" w:name="_Toc204774346"/>
      <w:r>
        <w:t>4.4.4 Infrastructuur &amp; Bereikbaarheid</w:t>
      </w:r>
      <w:bookmarkEnd w:id="50"/>
    </w:p>
    <w:p w14:paraId="03DF0675"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E077020"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Huidige Status:</w:t>
      </w:r>
    </w:p>
    <w:p w14:paraId="1E654941"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infrastructuur in Noordwest-Bulgarije is minder ontwikkeld dan in andere delen van Bulgarije.</w:t>
      </w:r>
    </w:p>
    <w:p w14:paraId="2EB7FCFC" w14:textId="77777777" w:rsidR="00B16B06" w:rsidRDefault="00C75414" w:rsidP="00BE01A1">
      <w:pPr>
        <w:numPr>
          <w:ilvl w:val="0"/>
          <w:numId w:val="5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Luchthavens:</w:t>
      </w:r>
      <w:r>
        <w:rPr>
          <w:rFonts w:ascii="Google Sans Text" w:eastAsia="Google Sans Text" w:hAnsi="Google Sans Text" w:cs="Google Sans Text"/>
          <w:color w:val="1B1C1D"/>
          <w:sz w:val="24"/>
          <w:szCs w:val="24"/>
        </w:rPr>
        <w:t xml:space="preserve"> De dichtstbijzijnde internationale luchthaven is Sofia (SOF), op ongeveer 2-3 uur rijden van de belangrijkste steden in de regio.</w:t>
      </w:r>
    </w:p>
    <w:p w14:paraId="63711621" w14:textId="77777777" w:rsidR="00B16B06" w:rsidRDefault="00C75414" w:rsidP="00BE01A1">
      <w:pPr>
        <w:numPr>
          <w:ilvl w:val="0"/>
          <w:numId w:val="5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w:t>
      </w:r>
      <w:r>
        <w:rPr>
          <w:rFonts w:ascii="Google Sans Text" w:eastAsia="Google Sans Text" w:hAnsi="Google Sans Text" w:cs="Google Sans Text"/>
          <w:color w:val="1B1C1D"/>
          <w:sz w:val="24"/>
          <w:szCs w:val="24"/>
        </w:rPr>
        <w:t xml:space="preserve"> Het hoofdwegennetwerk is redelijk, maar veel landelijke wegen zijn in slechte staat of onverhard. De </w:t>
      </w:r>
      <w:proofErr w:type="spellStart"/>
      <w:r>
        <w:rPr>
          <w:rFonts w:ascii="Google Sans Text" w:eastAsia="Google Sans Text" w:hAnsi="Google Sans Text" w:cs="Google Sans Text"/>
          <w:color w:val="1B1C1D"/>
          <w:sz w:val="24"/>
          <w:szCs w:val="24"/>
        </w:rPr>
        <w:t>Danube</w:t>
      </w:r>
      <w:proofErr w:type="spellEnd"/>
      <w:r>
        <w:rPr>
          <w:rFonts w:ascii="Google Sans Text" w:eastAsia="Google Sans Text" w:hAnsi="Google Sans Text" w:cs="Google Sans Text"/>
          <w:color w:val="1B1C1D"/>
          <w:sz w:val="24"/>
          <w:szCs w:val="24"/>
        </w:rPr>
        <w:t xml:space="preserve"> Bridge 2 (</w:t>
      </w:r>
      <w:proofErr w:type="spellStart"/>
      <w:r>
        <w:rPr>
          <w:rFonts w:ascii="Google Sans Text" w:eastAsia="Google Sans Text" w:hAnsi="Google Sans Text" w:cs="Google Sans Text"/>
          <w:color w:val="1B1C1D"/>
          <w:sz w:val="24"/>
          <w:szCs w:val="24"/>
        </w:rPr>
        <w:t>Vidin-Calafat</w:t>
      </w:r>
      <w:proofErr w:type="spellEnd"/>
      <w:r>
        <w:rPr>
          <w:rFonts w:ascii="Google Sans Text" w:eastAsia="Google Sans Text" w:hAnsi="Google Sans Text" w:cs="Google Sans Text"/>
          <w:color w:val="1B1C1D"/>
          <w:sz w:val="24"/>
          <w:szCs w:val="24"/>
        </w:rPr>
        <w:t>) verbetert de verbinding met Roemenië en West-Europa.</w:t>
      </w:r>
    </w:p>
    <w:p w14:paraId="046ACDE1" w14:textId="77777777" w:rsidR="00B16B06" w:rsidRDefault="00C75414" w:rsidP="00BE01A1">
      <w:pPr>
        <w:numPr>
          <w:ilvl w:val="0"/>
          <w:numId w:val="5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Spoorwegen:</w:t>
      </w:r>
      <w:r>
        <w:rPr>
          <w:rFonts w:ascii="Google Sans Text" w:eastAsia="Google Sans Text" w:hAnsi="Google Sans Text" w:cs="Google Sans Text"/>
          <w:color w:val="1B1C1D"/>
          <w:sz w:val="24"/>
          <w:szCs w:val="24"/>
        </w:rPr>
        <w:t xml:space="preserve"> Het spoorwegnet is aanwezig, maar traag en verouderd.</w:t>
      </w:r>
    </w:p>
    <w:p w14:paraId="1068D4B5" w14:textId="77777777" w:rsidR="00B16B06" w:rsidRDefault="00C75414" w:rsidP="00BE01A1">
      <w:pPr>
        <w:numPr>
          <w:ilvl w:val="0"/>
          <w:numId w:val="58"/>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Digitale Infrastructuur:</w:t>
      </w:r>
      <w:r>
        <w:rPr>
          <w:rFonts w:ascii="Google Sans Text" w:eastAsia="Google Sans Text" w:hAnsi="Google Sans Text" w:cs="Google Sans Text"/>
          <w:color w:val="1B1C1D"/>
          <w:sz w:val="24"/>
          <w:szCs w:val="24"/>
        </w:rPr>
        <w:t xml:space="preserve"> Mobiele dekking is redelijk in bewoonde gebieden, maar internettoegang kan in afgelegen dorpen beperkt zijn tot langzaam breedband of 4G.</w:t>
      </w:r>
    </w:p>
    <w:p w14:paraId="20B4DE6D"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Ontwikkelingen:</w:t>
      </w:r>
    </w:p>
    <w:p w14:paraId="55C5B7B0"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Bulgarije investeert in infrastructuur, mede met EU-fondsen.</w:t>
      </w:r>
    </w:p>
    <w:p w14:paraId="1D24CEB4" w14:textId="77777777" w:rsidR="00B16B06" w:rsidRDefault="00C75414" w:rsidP="00BE01A1">
      <w:pPr>
        <w:numPr>
          <w:ilvl w:val="0"/>
          <w:numId w:val="5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Wegenprojecten:</w:t>
      </w:r>
      <w:r>
        <w:rPr>
          <w:rFonts w:ascii="Google Sans Text" w:eastAsia="Google Sans Text" w:hAnsi="Google Sans Text" w:cs="Google Sans Text"/>
          <w:color w:val="1B1C1D"/>
          <w:sz w:val="24"/>
          <w:szCs w:val="24"/>
        </w:rPr>
        <w:t xml:space="preserve"> Er zijn plannen voor de verbetering van regionale wegen en de aanleg van nieuwe snelwegen om de verbinding met Sofia en de rest van Europa te verbeteren.</w:t>
      </w:r>
    </w:p>
    <w:p w14:paraId="281A9B38" w14:textId="77777777" w:rsidR="00B16B06" w:rsidRDefault="00C75414" w:rsidP="00BE01A1">
      <w:pPr>
        <w:numPr>
          <w:ilvl w:val="0"/>
          <w:numId w:val="59"/>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Plattelandsontwikkeling:</w:t>
      </w:r>
      <w:r>
        <w:rPr>
          <w:rFonts w:ascii="Google Sans Text" w:eastAsia="Google Sans Text" w:hAnsi="Google Sans Text" w:cs="Google Sans Text"/>
          <w:color w:val="1B1C1D"/>
          <w:sz w:val="24"/>
          <w:szCs w:val="24"/>
        </w:rPr>
        <w:t xml:space="preserve"> EU-fondsen worden ingezet voor projecten gericht op plattelandsontwikkeling, waaronder verbetering van lokale infrastructuur en toeristische faciliteiten.</w:t>
      </w:r>
    </w:p>
    <w:p w14:paraId="1FC1864B"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5E49A1A4" w14:textId="77777777" w:rsidR="00B16B06" w:rsidRDefault="00C75414" w:rsidP="00EA7E3B">
      <w:pPr>
        <w:pStyle w:val="Kop3"/>
      </w:pPr>
      <w:bookmarkStart w:id="51" w:name="_Toc204774347"/>
      <w:r>
        <w:t>4.4.5 Juridisch, Fiscale &amp; Overheidsbeleid</w:t>
      </w:r>
      <w:bookmarkEnd w:id="51"/>
    </w:p>
    <w:p w14:paraId="49CB0BD6"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D91E2DE"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Buitenlands Eigendom:</w:t>
      </w:r>
    </w:p>
    <w:p w14:paraId="30B9151F"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Bulgarije, als EU-lidstaat, heeft een relatief eenvoudig juridisch kader voor buitenlands vastgoedeigendom.</w:t>
      </w:r>
    </w:p>
    <w:p w14:paraId="476C2220" w14:textId="77777777" w:rsidR="00B16B06" w:rsidRDefault="00C75414" w:rsidP="00BE01A1">
      <w:pPr>
        <w:numPr>
          <w:ilvl w:val="0"/>
          <w:numId w:val="6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Direct Eigendom:</w:t>
      </w:r>
      <w:r>
        <w:rPr>
          <w:rFonts w:ascii="Google Sans Text" w:eastAsia="Google Sans Text" w:hAnsi="Google Sans Text" w:cs="Google Sans Text"/>
          <w:color w:val="1B1C1D"/>
          <w:sz w:val="24"/>
          <w:szCs w:val="24"/>
        </w:rPr>
        <w:t xml:space="preserve"> Burgers van EU-lidstaten kunnen direct eigendom verwerven van vastgoed, inclusief grond, in Bulgarije. Niet-EU-burgers kunnen land verwerven via een Bulgaarse rechtspersoon.</w:t>
      </w:r>
    </w:p>
    <w:p w14:paraId="1A65F3A1" w14:textId="77777777" w:rsidR="00B16B06" w:rsidRDefault="00C75414" w:rsidP="00BE01A1">
      <w:pPr>
        <w:numPr>
          <w:ilvl w:val="0"/>
          <w:numId w:val="60"/>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lastRenderedPageBreak/>
        <w:t>Proces van Eigendomsoverdracht:</w:t>
      </w:r>
      <w:r>
        <w:rPr>
          <w:rFonts w:ascii="Google Sans Text" w:eastAsia="Google Sans Text" w:hAnsi="Google Sans Text" w:cs="Google Sans Text"/>
          <w:color w:val="1B1C1D"/>
          <w:sz w:val="24"/>
          <w:szCs w:val="24"/>
        </w:rPr>
        <w:t xml:space="preserve"> Het proces omvat een notariële akte, registratie bij het kadaster en betaling van belastingen. Juridisch advies is essentieel om alle stappen correct te doorlopen.</w:t>
      </w:r>
    </w:p>
    <w:p w14:paraId="54401E56"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Belastingregime:</w:t>
      </w:r>
    </w:p>
    <w:p w14:paraId="3AD8A195" w14:textId="77777777" w:rsidR="00B16B06" w:rsidRDefault="00C75414" w:rsidP="00BE01A1">
      <w:pPr>
        <w:numPr>
          <w:ilvl w:val="0"/>
          <w:numId w:val="6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Aankoopbelasting:</w:t>
      </w:r>
      <w:r>
        <w:rPr>
          <w:rFonts w:ascii="Google Sans Text" w:eastAsia="Google Sans Text" w:hAnsi="Google Sans Text" w:cs="Google Sans Text"/>
          <w:color w:val="1B1C1D"/>
          <w:sz w:val="24"/>
          <w:szCs w:val="24"/>
        </w:rPr>
        <w:t xml:space="preserve"> Een gemeentelijke belasting op de overdracht van vastgoed, variërend van 0,1% tot 3% van de verkoopprijs of de taxatiewaarde. Notaris- en registratiekosten zijn ook van toepassing.</w:t>
      </w:r>
    </w:p>
    <w:p w14:paraId="23BBB0E4" w14:textId="77777777" w:rsidR="00B16B06" w:rsidRDefault="00C75414" w:rsidP="00BE01A1">
      <w:pPr>
        <w:numPr>
          <w:ilvl w:val="0"/>
          <w:numId w:val="6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Jaarlijkse Onroerendezaakbelasting:</w:t>
      </w:r>
      <w:r>
        <w:rPr>
          <w:rFonts w:ascii="Google Sans Text" w:eastAsia="Google Sans Text" w:hAnsi="Google Sans Text" w:cs="Google Sans Text"/>
          <w:color w:val="1B1C1D"/>
          <w:sz w:val="24"/>
          <w:szCs w:val="24"/>
        </w:rPr>
        <w:t xml:space="preserve"> Zeer laag, gebaseerd op de taxatiewaarde van het pand en de locatie.</w:t>
      </w:r>
    </w:p>
    <w:p w14:paraId="727DD38C" w14:textId="77777777" w:rsidR="00B16B06" w:rsidRDefault="00C75414" w:rsidP="00BE01A1">
      <w:pPr>
        <w:numPr>
          <w:ilvl w:val="0"/>
          <w:numId w:val="6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Inkomstenbelasting op Huurinkomsten:</w:t>
      </w:r>
      <w:r>
        <w:rPr>
          <w:rFonts w:ascii="Google Sans Text" w:eastAsia="Google Sans Text" w:hAnsi="Google Sans Text" w:cs="Google Sans Text"/>
          <w:color w:val="1B1C1D"/>
          <w:sz w:val="24"/>
          <w:szCs w:val="24"/>
        </w:rPr>
        <w:t xml:space="preserve"> Een vast tarief van 10% op huurinkomsten.</w:t>
      </w:r>
    </w:p>
    <w:p w14:paraId="60298EF4" w14:textId="77777777" w:rsidR="00B16B06" w:rsidRDefault="00C75414" w:rsidP="00BE01A1">
      <w:pPr>
        <w:numPr>
          <w:ilvl w:val="0"/>
          <w:numId w:val="6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Kapitaalwinstbelasting:</w:t>
      </w:r>
      <w:r>
        <w:rPr>
          <w:rFonts w:ascii="Google Sans Text" w:eastAsia="Google Sans Text" w:hAnsi="Google Sans Text" w:cs="Google Sans Text"/>
          <w:color w:val="1B1C1D"/>
          <w:sz w:val="24"/>
          <w:szCs w:val="24"/>
        </w:rPr>
        <w:t xml:space="preserve"> Een vast tarief van 10% op de winst bij verkoop van vastgoed, met uitzonderingen voor hoofdverblijfplaatsen.</w:t>
      </w:r>
    </w:p>
    <w:p w14:paraId="355E1277" w14:textId="77777777" w:rsidR="00B16B06" w:rsidRDefault="00C75414" w:rsidP="00BE01A1">
      <w:pPr>
        <w:numPr>
          <w:ilvl w:val="0"/>
          <w:numId w:val="6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Belastingvoordelen:</w:t>
      </w:r>
      <w:r>
        <w:rPr>
          <w:rFonts w:ascii="Google Sans Text" w:eastAsia="Google Sans Text" w:hAnsi="Google Sans Text" w:cs="Google Sans Text"/>
          <w:color w:val="1B1C1D"/>
          <w:sz w:val="24"/>
          <w:szCs w:val="24"/>
        </w:rPr>
        <w:t xml:space="preserve"> Er zijn geen specifieke belastingvoordelen voor toerisme- of plattelandsinvesteringen in Noordwest-Bulgarije, maar de algemene lage belastingtarieven in Bulgarije zijn al een stimulans.</w:t>
      </w:r>
    </w:p>
    <w:p w14:paraId="74F72150"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Investeringsstimulansen &amp; Visumprogramma's:</w:t>
      </w:r>
    </w:p>
    <w:p w14:paraId="47C60235" w14:textId="77777777" w:rsidR="00B16B06" w:rsidRDefault="00C75414" w:rsidP="00BE01A1">
      <w:pPr>
        <w:numPr>
          <w:ilvl w:val="0"/>
          <w:numId w:val="6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EU-lidmaatschap:</w:t>
      </w:r>
      <w:r>
        <w:rPr>
          <w:rFonts w:ascii="Google Sans Text" w:eastAsia="Google Sans Text" w:hAnsi="Google Sans Text" w:cs="Google Sans Text"/>
          <w:color w:val="1B1C1D"/>
          <w:sz w:val="24"/>
          <w:szCs w:val="24"/>
        </w:rPr>
        <w:t xml:space="preserve"> Het lidmaatschap van de EU biedt rechtszekerheid en toegang tot EU-fondsen voor ontwikkeling.</w:t>
      </w:r>
    </w:p>
    <w:p w14:paraId="124F86BF" w14:textId="77777777" w:rsidR="00B16B06" w:rsidRDefault="00C75414" w:rsidP="00BE01A1">
      <w:pPr>
        <w:numPr>
          <w:ilvl w:val="0"/>
          <w:numId w:val="6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Geen specifiek investeringsvisum:</w:t>
      </w:r>
      <w:r>
        <w:rPr>
          <w:rFonts w:ascii="Google Sans Text" w:eastAsia="Google Sans Text" w:hAnsi="Google Sans Text" w:cs="Google Sans Text"/>
          <w:color w:val="1B1C1D"/>
          <w:sz w:val="24"/>
          <w:szCs w:val="24"/>
        </w:rPr>
        <w:t xml:space="preserve"> Bulgarije heeft geen specifiek "gouden visum" programma voor vastgoedinvesteringen, maar de lage kosten en het EU-lidmaatschap maken het aantrekkelijk voor EU-burgers.</w:t>
      </w:r>
    </w:p>
    <w:p w14:paraId="0FF0F88C"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2A7BDE50" w14:textId="77777777" w:rsidR="00B16B06" w:rsidRDefault="00C75414" w:rsidP="00EA7E3B">
      <w:pPr>
        <w:pStyle w:val="Kop3"/>
      </w:pPr>
      <w:bookmarkStart w:id="52" w:name="_Toc204774348"/>
      <w:r>
        <w:t>4.4.6 Financiële Projecties &amp; ROI Detail</w:t>
      </w:r>
      <w:bookmarkEnd w:id="52"/>
    </w:p>
    <w:p w14:paraId="6D0C7987"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29F216A"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Verwachte ROI-range:</w:t>
      </w:r>
      <w:r>
        <w:rPr>
          <w:rFonts w:ascii="Google Sans Text" w:eastAsia="Google Sans Text" w:hAnsi="Google Sans Text" w:cs="Google Sans Text"/>
          <w:color w:val="1B1C1D"/>
          <w:sz w:val="24"/>
          <w:szCs w:val="24"/>
        </w:rPr>
        <w:t xml:space="preserve"> De verwachte Return on Investment (ROI) voor een gerenoveerd vastgoedobject in Noordwest-Bulgarije, gericht op </w:t>
      </w:r>
      <w:proofErr w:type="spellStart"/>
      <w:r>
        <w:rPr>
          <w:rFonts w:ascii="Google Sans Text" w:eastAsia="Google Sans Text" w:hAnsi="Google Sans Text" w:cs="Google Sans Text"/>
          <w:color w:val="1B1C1D"/>
          <w:sz w:val="24"/>
          <w:szCs w:val="24"/>
        </w:rPr>
        <w:t>kortetermijnverhuur</w:t>
      </w:r>
      <w:proofErr w:type="spellEnd"/>
      <w:r>
        <w:rPr>
          <w:rFonts w:ascii="Google Sans Text" w:eastAsia="Google Sans Text" w:hAnsi="Google Sans Text" w:cs="Google Sans Text"/>
          <w:color w:val="1B1C1D"/>
          <w:sz w:val="24"/>
          <w:szCs w:val="24"/>
        </w:rPr>
        <w:t>, ligt tussen de 20% en 30% op jaarbasis. Deze range is gebaseerd op een investering van circa €100.000, inclusief aankoop en renovatie. De hogere ROI is een direct gevolg van de extreem lage aankoopprijzen.</w:t>
      </w:r>
    </w:p>
    <w:p w14:paraId="7DD18C3D"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Gedetailleerde Aannames:</w:t>
      </w:r>
    </w:p>
    <w:p w14:paraId="6AFDEADB" w14:textId="77777777" w:rsidR="00B16B06" w:rsidRDefault="00C75414" w:rsidP="00BE01A1">
      <w:pPr>
        <w:numPr>
          <w:ilvl w:val="0"/>
          <w:numId w:val="6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 xml:space="preserve">Geschatte </w:t>
      </w:r>
      <w:proofErr w:type="spellStart"/>
      <w:r>
        <w:rPr>
          <w:rFonts w:ascii="Google Sans Text" w:eastAsia="Google Sans Text" w:hAnsi="Google Sans Text" w:cs="Google Sans Text"/>
          <w:b/>
          <w:color w:val="1B1C1D"/>
          <w:sz w:val="24"/>
          <w:szCs w:val="24"/>
        </w:rPr>
        <w:t>Airbnb</w:t>
      </w:r>
      <w:proofErr w:type="spellEnd"/>
      <w:r>
        <w:rPr>
          <w:rFonts w:ascii="Google Sans Text" w:eastAsia="Google Sans Text" w:hAnsi="Google Sans Text" w:cs="Google Sans Text"/>
          <w:b/>
          <w:color w:val="1B1C1D"/>
          <w:sz w:val="24"/>
          <w:szCs w:val="24"/>
        </w:rPr>
        <w:t xml:space="preserve"> bezettingsgraad:</w:t>
      </w:r>
      <w:r>
        <w:rPr>
          <w:rFonts w:ascii="Google Sans Text" w:eastAsia="Google Sans Text" w:hAnsi="Google Sans Text" w:cs="Google Sans Text"/>
          <w:color w:val="1B1C1D"/>
          <w:sz w:val="24"/>
          <w:szCs w:val="24"/>
        </w:rPr>
        <w:t xml:space="preserve"> Op basis van de opkomende aard van de regio, wordt een voorzichtige gemiddelde bezettingsgraad van 45-55% verwacht. Dit zal naar verwachting toenemen naarmate de regio meer bekendheid krijgt.</w:t>
      </w:r>
    </w:p>
    <w:p w14:paraId="2A27C693" w14:textId="77777777" w:rsidR="00B16B06" w:rsidRDefault="00C75414" w:rsidP="00BE01A1">
      <w:pPr>
        <w:numPr>
          <w:ilvl w:val="0"/>
          <w:numId w:val="6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Geschatte </w:t>
      </w:r>
      <w:proofErr w:type="spellStart"/>
      <w:r>
        <w:rPr>
          <w:rFonts w:ascii="Google Sans Text" w:eastAsia="Google Sans Text" w:hAnsi="Google Sans Text" w:cs="Google Sans Text"/>
          <w:b/>
          <w:color w:val="1B1C1D"/>
          <w:sz w:val="24"/>
          <w:szCs w:val="24"/>
        </w:rPr>
        <w:t>Average</w:t>
      </w:r>
      <w:proofErr w:type="spellEnd"/>
      <w:r>
        <w:rPr>
          <w:rFonts w:ascii="Google Sans Text" w:eastAsia="Google Sans Text" w:hAnsi="Google Sans Text" w:cs="Google Sans Text"/>
          <w:b/>
          <w:color w:val="1B1C1D"/>
          <w:sz w:val="24"/>
          <w:szCs w:val="24"/>
        </w:rPr>
        <w:t xml:space="preserve"> Daily </w:t>
      </w:r>
      <w:proofErr w:type="spellStart"/>
      <w:r>
        <w:rPr>
          <w:rFonts w:ascii="Google Sans Text" w:eastAsia="Google Sans Text" w:hAnsi="Google Sans Text" w:cs="Google Sans Text"/>
          <w:b/>
          <w:color w:val="1B1C1D"/>
          <w:sz w:val="24"/>
          <w:szCs w:val="24"/>
        </w:rPr>
        <w:t>Rate</w:t>
      </w:r>
      <w:proofErr w:type="spellEnd"/>
      <w:r>
        <w:rPr>
          <w:rFonts w:ascii="Google Sans Text" w:eastAsia="Google Sans Text" w:hAnsi="Google Sans Text" w:cs="Google Sans Text"/>
          <w:b/>
          <w:color w:val="1B1C1D"/>
          <w:sz w:val="24"/>
          <w:szCs w:val="24"/>
        </w:rPr>
        <w:t xml:space="preserve"> (ADR):</w:t>
      </w:r>
      <w:r>
        <w:rPr>
          <w:rFonts w:ascii="Google Sans Text" w:eastAsia="Google Sans Text" w:hAnsi="Google Sans Text" w:cs="Google Sans Text"/>
          <w:color w:val="1B1C1D"/>
          <w:sz w:val="24"/>
          <w:szCs w:val="24"/>
        </w:rPr>
        <w:t xml:space="preserve"> De geschatte ADR voor een gerenoveerd pand van hoge kwaliteit in de geselecteerde gebieden ligt tussen €30 en €50, afhankelijk van de grootte, voorzieningen en seizoensgebonden vraag.</w:t>
      </w:r>
    </w:p>
    <w:p w14:paraId="52F9C859" w14:textId="77777777" w:rsidR="00B16B06" w:rsidRDefault="00C75414" w:rsidP="00BE01A1">
      <w:pPr>
        <w:numPr>
          <w:ilvl w:val="0"/>
          <w:numId w:val="6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Gedetailleerde uitsplitsing van operationele kosten (als percentage van bruto-omzet):</w:t>
      </w:r>
    </w:p>
    <w:p w14:paraId="5387DB18" w14:textId="77777777" w:rsidR="00B16B06" w:rsidRDefault="00C75414" w:rsidP="00BE01A1">
      <w:pPr>
        <w:numPr>
          <w:ilvl w:val="1"/>
          <w:numId w:val="6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Schoonmaak &amp; Onderhoud: 10-15%</w:t>
      </w:r>
    </w:p>
    <w:p w14:paraId="1DECFC9D" w14:textId="77777777" w:rsidR="00B16B06" w:rsidRDefault="00C75414" w:rsidP="00BE01A1">
      <w:pPr>
        <w:numPr>
          <w:ilvl w:val="1"/>
          <w:numId w:val="6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Nutsvoorzieningen (elektriciteit, water, internet): 7-10%</w:t>
      </w:r>
    </w:p>
    <w:p w14:paraId="27A3E529" w14:textId="77777777" w:rsidR="00B16B06" w:rsidRDefault="00C75414" w:rsidP="00BE01A1">
      <w:pPr>
        <w:numPr>
          <w:ilvl w:val="1"/>
          <w:numId w:val="6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Platformkosten (</w:t>
      </w:r>
      <w:proofErr w:type="spellStart"/>
      <w:r>
        <w:rPr>
          <w:rFonts w:ascii="Google Sans Text" w:eastAsia="Google Sans Text" w:hAnsi="Google Sans Text" w:cs="Google Sans Text"/>
          <w:color w:val="1B1C1D"/>
          <w:sz w:val="24"/>
          <w:szCs w:val="24"/>
        </w:rPr>
        <w:t>Airbnb</w:t>
      </w:r>
      <w:proofErr w:type="spellEnd"/>
      <w:r>
        <w:rPr>
          <w:rFonts w:ascii="Google Sans Text" w:eastAsia="Google Sans Text" w:hAnsi="Google Sans Text" w:cs="Google Sans Text"/>
          <w:color w:val="1B1C1D"/>
          <w:sz w:val="24"/>
          <w:szCs w:val="24"/>
        </w:rPr>
        <w:t>/Booking.com): 3-5%</w:t>
      </w:r>
    </w:p>
    <w:p w14:paraId="559B0C5E" w14:textId="77777777" w:rsidR="00B16B06" w:rsidRDefault="00C75414" w:rsidP="00BE01A1">
      <w:pPr>
        <w:numPr>
          <w:ilvl w:val="1"/>
          <w:numId w:val="6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Property Management </w:t>
      </w:r>
      <w:proofErr w:type="spellStart"/>
      <w:r>
        <w:rPr>
          <w:rFonts w:ascii="Google Sans Text" w:eastAsia="Google Sans Text" w:hAnsi="Google Sans Text" w:cs="Google Sans Text"/>
          <w:color w:val="1B1C1D"/>
          <w:sz w:val="24"/>
          <w:szCs w:val="24"/>
        </w:rPr>
        <w:t>Fees</w:t>
      </w:r>
      <w:proofErr w:type="spellEnd"/>
      <w:r>
        <w:rPr>
          <w:rFonts w:ascii="Google Sans Text" w:eastAsia="Google Sans Text" w:hAnsi="Google Sans Text" w:cs="Google Sans Text"/>
          <w:color w:val="1B1C1D"/>
          <w:sz w:val="24"/>
          <w:szCs w:val="24"/>
        </w:rPr>
        <w:t>: 15-20% (indien uitbesteed)</w:t>
      </w:r>
    </w:p>
    <w:p w14:paraId="38364E03" w14:textId="77777777" w:rsidR="00B16B06" w:rsidRDefault="00C75414" w:rsidP="00BE01A1">
      <w:pPr>
        <w:numPr>
          <w:ilvl w:val="1"/>
          <w:numId w:val="6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Verzekeringen: 1-2%</w:t>
      </w:r>
    </w:p>
    <w:p w14:paraId="165B9718" w14:textId="77777777" w:rsidR="00B16B06" w:rsidRDefault="00C75414" w:rsidP="00BE01A1">
      <w:pPr>
        <w:numPr>
          <w:ilvl w:val="1"/>
          <w:numId w:val="6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Overige (klein onderhoud, verbruiksartikelen): 5-8%</w:t>
      </w:r>
    </w:p>
    <w:p w14:paraId="52C02A91" w14:textId="77777777" w:rsidR="00B16B06" w:rsidRDefault="00C75414" w:rsidP="00BE01A1">
      <w:pPr>
        <w:numPr>
          <w:ilvl w:val="1"/>
          <w:numId w:val="6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Totale operationele kosten: Gemiddeld 41-60% van bruto-omzet.</w:t>
      </w:r>
    </w:p>
    <w:p w14:paraId="312DD504" w14:textId="77777777" w:rsidR="00B16B06" w:rsidRDefault="00C75414" w:rsidP="00BE01A1">
      <w:pPr>
        <w:numPr>
          <w:ilvl w:val="0"/>
          <w:numId w:val="63"/>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CapEx</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Capital</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Expenditure</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Indicatie van aanvullende investeringen na renovatie:</w:t>
      </w:r>
    </w:p>
    <w:p w14:paraId="4651DA36" w14:textId="77777777" w:rsidR="00B16B06" w:rsidRDefault="00C75414" w:rsidP="00BE01A1">
      <w:pPr>
        <w:numPr>
          <w:ilvl w:val="1"/>
          <w:numId w:val="6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Meubilering en inrichting: €3.000 - €7.000</w:t>
      </w:r>
    </w:p>
    <w:p w14:paraId="4D2D28B3" w14:textId="77777777" w:rsidR="00B16B06" w:rsidRDefault="00C75414" w:rsidP="00BE01A1">
      <w:pPr>
        <w:numPr>
          <w:ilvl w:val="1"/>
          <w:numId w:val="6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Initiële marketing en fotografie: €300 - €700</w:t>
      </w:r>
    </w:p>
    <w:p w14:paraId="587F481F" w14:textId="77777777" w:rsidR="00B16B06" w:rsidRDefault="00C75414" w:rsidP="00BE01A1">
      <w:pPr>
        <w:numPr>
          <w:ilvl w:val="1"/>
          <w:numId w:val="65"/>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Onvoorziene kosten: 5-10% van totale projectkosten</w:t>
      </w:r>
    </w:p>
    <w:p w14:paraId="25FEB916"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Scenario-analyse:</w:t>
      </w:r>
    </w:p>
    <w:p w14:paraId="380F4314" w14:textId="77777777" w:rsidR="00B16B06" w:rsidRDefault="00C75414" w:rsidP="00BE01A1">
      <w:pPr>
        <w:numPr>
          <w:ilvl w:val="0"/>
          <w:numId w:val="6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Optimistisch Scenario (ROI 30%):</w:t>
      </w:r>
      <w:r>
        <w:rPr>
          <w:rFonts w:ascii="Google Sans Text" w:eastAsia="Google Sans Text" w:hAnsi="Google Sans Text" w:cs="Google Sans Text"/>
          <w:color w:val="1B1C1D"/>
          <w:sz w:val="24"/>
          <w:szCs w:val="24"/>
        </w:rPr>
        <w:t xml:space="preserve"> Hoge bezettingsgraad (55-60%), hogere ADR (€45-€50), zeer efficiënt kostenbeheer, snelle waardevermeerdering van vastgoed door toenemende bekendheid en EU-ontwikkelingsfondsen. Terugverdientijd: 3-4 jaar.</w:t>
      </w:r>
    </w:p>
    <w:p w14:paraId="3C8D380C" w14:textId="77777777" w:rsidR="00B16B06" w:rsidRDefault="00C75414" w:rsidP="00BE01A1">
      <w:pPr>
        <w:numPr>
          <w:ilvl w:val="0"/>
          <w:numId w:val="6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Realistisch Scenario (ROI 25%):</w:t>
      </w:r>
      <w:r>
        <w:rPr>
          <w:rFonts w:ascii="Google Sans Text" w:eastAsia="Google Sans Text" w:hAnsi="Google Sans Text" w:cs="Google Sans Text"/>
          <w:color w:val="1B1C1D"/>
          <w:sz w:val="24"/>
          <w:szCs w:val="24"/>
        </w:rPr>
        <w:t xml:space="preserve"> Gemiddelde bezettingsgraad (45-50%), gemiddelde ADR (€35-€40), verwachte operationele kosten, gestage waardevermeerdering. Terugverdientijd: 4-5 jaar.</w:t>
      </w:r>
    </w:p>
    <w:p w14:paraId="10ABFFC6" w14:textId="77777777" w:rsidR="00B16B06" w:rsidRPr="00EA7E3B" w:rsidRDefault="00C75414" w:rsidP="00BE01A1">
      <w:pPr>
        <w:numPr>
          <w:ilvl w:val="0"/>
          <w:numId w:val="66"/>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Pessimistisch Scenario (ROI 20%):</w:t>
      </w:r>
      <w:r>
        <w:rPr>
          <w:rFonts w:ascii="Google Sans Text" w:eastAsia="Google Sans Text" w:hAnsi="Google Sans Text" w:cs="Google Sans Text"/>
          <w:color w:val="1B1C1D"/>
          <w:sz w:val="24"/>
          <w:szCs w:val="24"/>
        </w:rPr>
        <w:t xml:space="preserve"> Lagere bezettingsgraad (35-40%), lagere ADR (€30-€35) door trage ontwikkeling of economische tegenslag, hogere onvoorziene kosten. Terugverdientijd: 5-6 jaar.</w:t>
      </w:r>
    </w:p>
    <w:p w14:paraId="176BACBD" w14:textId="77777777" w:rsidR="00EA7E3B" w:rsidRDefault="00EA7E3B" w:rsidP="00EA7E3B">
      <w:pPr>
        <w:pBdr>
          <w:top w:val="nil"/>
          <w:left w:val="nil"/>
          <w:bottom w:val="nil"/>
          <w:right w:val="nil"/>
          <w:between w:val="nil"/>
        </w:pBdr>
        <w:spacing w:after="120" w:line="275" w:lineRule="auto"/>
      </w:pPr>
    </w:p>
    <w:p w14:paraId="45B98682" w14:textId="77777777" w:rsidR="00EA7E3B" w:rsidRDefault="00EA7E3B" w:rsidP="00EA7E3B">
      <w:pPr>
        <w:pBdr>
          <w:top w:val="nil"/>
          <w:left w:val="nil"/>
          <w:bottom w:val="nil"/>
          <w:right w:val="nil"/>
          <w:between w:val="nil"/>
        </w:pBdr>
        <w:spacing w:after="120" w:line="275" w:lineRule="auto"/>
      </w:pPr>
    </w:p>
    <w:p w14:paraId="71AB845D" w14:textId="77777777" w:rsidR="00EA7E3B" w:rsidRDefault="00EA7E3B" w:rsidP="00EA7E3B">
      <w:pPr>
        <w:pBdr>
          <w:top w:val="nil"/>
          <w:left w:val="nil"/>
          <w:bottom w:val="nil"/>
          <w:right w:val="nil"/>
          <w:between w:val="nil"/>
        </w:pBdr>
        <w:spacing w:after="120" w:line="275" w:lineRule="auto"/>
      </w:pPr>
    </w:p>
    <w:p w14:paraId="4EE7BA6A" w14:textId="77777777" w:rsidR="00EA7E3B" w:rsidRDefault="00EA7E3B" w:rsidP="00EA7E3B">
      <w:pPr>
        <w:pBdr>
          <w:top w:val="nil"/>
          <w:left w:val="nil"/>
          <w:bottom w:val="nil"/>
          <w:right w:val="nil"/>
          <w:between w:val="nil"/>
        </w:pBdr>
        <w:spacing w:after="120" w:line="275" w:lineRule="auto"/>
      </w:pPr>
    </w:p>
    <w:p w14:paraId="3180197C" w14:textId="77777777" w:rsidR="00B16B06" w:rsidRDefault="00C75414">
      <w:pPr>
        <w:pBdr>
          <w:top w:val="nil"/>
          <w:left w:val="nil"/>
          <w:bottom w:val="nil"/>
          <w:right w:val="nil"/>
          <w:between w:val="nil"/>
        </w:pBdr>
        <w:spacing w:before="240"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lastRenderedPageBreak/>
        <w:t>Cashflow Projecties (voorbeeld, 5-jaar projectie):</w:t>
      </w:r>
    </w:p>
    <w:tbl>
      <w:tblPr>
        <w:tblStyle w:val="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B16B06" w14:paraId="1BF41563"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5E79A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Jaar</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6C9ED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Initiële Investering</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17061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Renovatiekosten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513B4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Bruto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5B0E7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Operationele 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46F3F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0A844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Belastingen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80819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Cashflow</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F743E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Cumulatieve Netto Cashflow</w:t>
            </w:r>
          </w:p>
        </w:tc>
      </w:tr>
      <w:tr w:rsidR="00B16B06" w14:paraId="1A53C223"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E53A1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F2C7B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E3BFD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42B20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B5A9F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462B4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F6B4E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87F78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2F296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r>
      <w:tr w:rsidR="00B16B06" w14:paraId="2E1A9FF0"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4B864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6AB87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339E4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4CA71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B41E1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F40DC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C29EC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523DB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1768C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-€91.000</w:t>
            </w:r>
          </w:p>
        </w:tc>
      </w:tr>
      <w:tr w:rsidR="00B16B06" w14:paraId="622BD7AB"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767C4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8A6B3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3FD20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69477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€23.000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E7497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F9612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10B44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E056C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€10.350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6E652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-€80.650</w:t>
            </w:r>
          </w:p>
        </w:tc>
      </w:tr>
      <w:tr w:rsidR="00B16B06" w14:paraId="71E62337"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FDAC0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BDCB3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29865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13D2D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€26.000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8D032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C003E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63A3D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915BE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€11.700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7F7CD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-€68.950</w:t>
            </w:r>
          </w:p>
        </w:tc>
      </w:tr>
      <w:tr w:rsidR="00B16B06" w14:paraId="05C3F80C"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E1FBC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84D27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8A080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62B94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€29.000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69BBB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544CA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0D7A5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1AFCCE"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€13.050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6109D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-€55.900</w:t>
            </w:r>
          </w:p>
        </w:tc>
      </w:tr>
      <w:tr w:rsidR="00B16B06" w14:paraId="6FAFA987"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0F948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C2441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BB8EB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5E99D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€32.000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415A2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-€16.000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2D453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€16.000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C62DA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-€1.600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D1EFC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€14.400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E8812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-€41.500</w:t>
            </w:r>
          </w:p>
        </w:tc>
      </w:tr>
    </w:tbl>
    <w:p w14:paraId="4107A39E" w14:textId="77777777" w:rsidR="00B16B06" w:rsidRDefault="00C75414">
      <w:pPr>
        <w:pBdr>
          <w:top w:val="nil"/>
          <w:left w:val="nil"/>
          <w:bottom w:val="nil"/>
          <w:right w:val="nil"/>
          <w:between w:val="nil"/>
        </w:pBdr>
        <w:spacing w:before="480" w:after="240" w:line="275" w:lineRule="auto"/>
        <w:rPr>
          <w:rFonts w:ascii="Google Sans Text" w:eastAsia="Google Sans Text" w:hAnsi="Google Sans Text" w:cs="Google Sans Text"/>
          <w:i/>
          <w:color w:val="1B1C1D"/>
          <w:sz w:val="24"/>
          <w:szCs w:val="24"/>
        </w:rPr>
      </w:pPr>
      <w:r>
        <w:rPr>
          <w:rFonts w:ascii="Google Sans Text" w:eastAsia="Google Sans Text" w:hAnsi="Google Sans Text" w:cs="Google Sans Text"/>
          <w:i/>
          <w:color w:val="1B1C1D"/>
          <w:sz w:val="24"/>
          <w:szCs w:val="24"/>
        </w:rPr>
        <w:t xml:space="preserve">Opmerking: Deze tabel is een vereenvoudigde illustratie. De gedetailleerde cashflow projecties in de bijlagen omvatten meer </w:t>
      </w:r>
      <w:proofErr w:type="spellStart"/>
      <w:r>
        <w:rPr>
          <w:rFonts w:ascii="Google Sans Text" w:eastAsia="Google Sans Text" w:hAnsi="Google Sans Text" w:cs="Google Sans Text"/>
          <w:i/>
          <w:color w:val="1B1C1D"/>
          <w:sz w:val="24"/>
          <w:szCs w:val="24"/>
        </w:rPr>
        <w:t>granulariteit</w:t>
      </w:r>
      <w:proofErr w:type="spellEnd"/>
      <w:r>
        <w:rPr>
          <w:rFonts w:ascii="Google Sans Text" w:eastAsia="Google Sans Text" w:hAnsi="Google Sans Text" w:cs="Google Sans Text"/>
          <w:i/>
          <w:color w:val="1B1C1D"/>
          <w:sz w:val="24"/>
          <w:szCs w:val="24"/>
        </w:rPr>
        <w:t xml:space="preserve"> en variaties per scenario, inclusief de impact van waardestijging van het vastgoed bij exit.</w:t>
      </w:r>
    </w:p>
    <w:p w14:paraId="5D1CBCBD"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i/>
          <w:color w:val="1B1C1D"/>
          <w:sz w:val="24"/>
          <w:szCs w:val="24"/>
        </w:rPr>
      </w:pPr>
    </w:p>
    <w:p w14:paraId="32817E6B" w14:textId="77777777" w:rsidR="00B16B06" w:rsidRDefault="00C75414" w:rsidP="00B40848">
      <w:pPr>
        <w:pStyle w:val="Kop3"/>
      </w:pPr>
      <w:bookmarkStart w:id="53" w:name="_Toc204774349"/>
      <w:r>
        <w:lastRenderedPageBreak/>
        <w:t>4.4.7 Lokale Implementatiepartners &amp; Ondersteuning</w:t>
      </w:r>
      <w:bookmarkEnd w:id="53"/>
    </w:p>
    <w:p w14:paraId="2CDBADF5"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2AD56BE"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Voor succesvolle implementatie in Noordwest-Bulgarije is een betrouwbaar netwerk van lokale partners van groot belang. Typische lokale partijen omvatten:</w:t>
      </w:r>
    </w:p>
    <w:p w14:paraId="4EE5561E" w14:textId="77777777" w:rsidR="00B16B06" w:rsidRDefault="00C75414" w:rsidP="00BE01A1">
      <w:pPr>
        <w:numPr>
          <w:ilvl w:val="0"/>
          <w:numId w:val="6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Makelaardij:</w:t>
      </w:r>
      <w:r>
        <w:rPr>
          <w:rFonts w:ascii="Google Sans Text" w:eastAsia="Google Sans Text" w:hAnsi="Google Sans Text" w:cs="Google Sans Text"/>
          <w:color w:val="1B1C1D"/>
          <w:sz w:val="24"/>
          <w:szCs w:val="24"/>
        </w:rPr>
        <w:t xml:space="preserve"> Lokale vastgoedagenten met diepgaande kennis van de landelijke markt en toegang tot de vele beschikbare panden.</w:t>
      </w:r>
    </w:p>
    <w:p w14:paraId="4F25A55A" w14:textId="77777777" w:rsidR="00B16B06" w:rsidRDefault="00C75414" w:rsidP="00BE01A1">
      <w:pPr>
        <w:numPr>
          <w:ilvl w:val="0"/>
          <w:numId w:val="6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 Advies:</w:t>
      </w:r>
      <w:r>
        <w:rPr>
          <w:rFonts w:ascii="Google Sans Text" w:eastAsia="Google Sans Text" w:hAnsi="Google Sans Text" w:cs="Google Sans Text"/>
          <w:color w:val="1B1C1D"/>
          <w:sz w:val="24"/>
          <w:szCs w:val="24"/>
        </w:rPr>
        <w:t xml:space="preserve"> Advocaten gespecialiseerd in vastgoedrecht en buitenlandse investeringen, essentieel voor het navigeren door de Bulgaarse regelgeving en het verifiëren van eigendomstitels.</w:t>
      </w:r>
    </w:p>
    <w:p w14:paraId="7245401D" w14:textId="77777777" w:rsidR="00B16B06" w:rsidRDefault="00C75414" w:rsidP="00BE01A1">
      <w:pPr>
        <w:numPr>
          <w:ilvl w:val="0"/>
          <w:numId w:val="6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Projectmanagement:</w:t>
      </w:r>
      <w:r>
        <w:rPr>
          <w:rFonts w:ascii="Google Sans Text" w:eastAsia="Google Sans Text" w:hAnsi="Google Sans Text" w:cs="Google Sans Text"/>
          <w:color w:val="1B1C1D"/>
          <w:sz w:val="24"/>
          <w:szCs w:val="24"/>
        </w:rPr>
        <w:t xml:space="preserve"> Ervaren lokale aannemers en bouwmanagers die bekend zijn met de Bulgaarse bouwvoorschriften en materialen, en die efficiënt kunnen werken met de lage arbeidskosten.</w:t>
      </w:r>
    </w:p>
    <w:p w14:paraId="65B9913E" w14:textId="77777777" w:rsidR="00B16B06" w:rsidRDefault="00C75414" w:rsidP="00BE01A1">
      <w:pPr>
        <w:numPr>
          <w:ilvl w:val="0"/>
          <w:numId w:val="67"/>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Property Management: Betrouwbare teams voor dagelijks beheer, schoonmaak, onderhoud en gastenservice, vaak met meertalige capaciteiten.</w:t>
      </w:r>
      <w:r>
        <w:rPr>
          <w:color w:val="000000"/>
        </w:rPr>
        <w:br/>
      </w:r>
      <w:r>
        <w:rPr>
          <w:rFonts w:ascii="Google Sans Text" w:eastAsia="Google Sans Text" w:hAnsi="Google Sans Text" w:cs="Google Sans Text"/>
          <w:color w:val="1B1C1D"/>
          <w:sz w:val="24"/>
          <w:szCs w:val="24"/>
        </w:rPr>
        <w:t>"De Gouden Kansen van Nu" heeft een geverifieerd netwerk van deze partners, die essentieel zijn voor het overbruggen van culturele en operationele verschillen en het waarborgen van een soepele operatie.</w:t>
      </w:r>
    </w:p>
    <w:p w14:paraId="1B05E958"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4CD58512" w14:textId="77777777" w:rsidR="00B16B06" w:rsidRDefault="00C75414" w:rsidP="00B40848">
      <w:pPr>
        <w:pStyle w:val="Kop2"/>
      </w:pPr>
      <w:bookmarkStart w:id="54" w:name="_Toc204774350"/>
      <w:r>
        <w:t>4.5 Mekongdelta, Vietnam</w:t>
      </w:r>
      <w:bookmarkEnd w:id="54"/>
    </w:p>
    <w:p w14:paraId="73E63B4D"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627DDCB3" w14:textId="77777777" w:rsidR="00B16B06" w:rsidRDefault="00C75414" w:rsidP="00B40848">
      <w:pPr>
        <w:pStyle w:val="Kop3"/>
      </w:pPr>
      <w:bookmarkStart w:id="55" w:name="_Toc204774351"/>
      <w:r>
        <w:t>4.5.1 Historische Context &amp; Huidig Profiel</w:t>
      </w:r>
      <w:bookmarkEnd w:id="55"/>
    </w:p>
    <w:p w14:paraId="1188B63E"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44C41BA0"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De Mekongdelta in Vietnam is een uitgestrekt, vruchtbaar gebied in het zuidwesten van het land, doorkruist door talloze rivieren en kanalen. Historisch gezien is de regio de "rijstkom" van Vietnam, met een economie die voornamelijk gebaseerd is op landbouw, aquacultuur en visserij. De demografie is dichtbevolkt, met een jonge en actieve beroepsbevolking. De regio heeft een unieke watercultuur, met drijvende markten en traditionele dorpen langs de rivieroevers. Hoewel de delta lang is gedomineerd door landbouw, is er een groeiende focus op de ontwikkeling van ecotoerisme en cultureel toerisme, gesteund door overheidsinitiatieven om de economie te diversifiëren en de levensstandaard te verbeteren.</w:t>
      </w:r>
    </w:p>
    <w:p w14:paraId="32649E52"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591A776B" w14:textId="77777777" w:rsidR="00B16B06" w:rsidRDefault="00C75414" w:rsidP="00B40848">
      <w:pPr>
        <w:pStyle w:val="Kop3"/>
      </w:pPr>
      <w:bookmarkStart w:id="56" w:name="_Toc204774352"/>
      <w:r>
        <w:t>4.5.2 Toeristische Groeimarkers &amp; Potentieel</w:t>
      </w:r>
      <w:bookmarkEnd w:id="56"/>
    </w:p>
    <w:p w14:paraId="67643696"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A8EF5DB"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Vietnam als geheel heeft de afgelopen jaren een explosieve groei in toerisme gekend, met jaarlijkse groeipercentages van meer dan 20% vóór de pandemie. De Mekongdelta, hoewel minder ontwikkeld dan de kustgebieden, profiteert van deze nationale trend en trekt een groeiend aantal toeristen aan dat op zoek is naar authentieke culturele en natuurlijke ervaringen.</w:t>
      </w:r>
    </w:p>
    <w:p w14:paraId="297A9279" w14:textId="77777777" w:rsidR="00B16B06" w:rsidRDefault="00C75414" w:rsidP="00BE01A1">
      <w:pPr>
        <w:numPr>
          <w:ilvl w:val="0"/>
          <w:numId w:val="6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Type Toerist:</w:t>
      </w:r>
      <w:r>
        <w:rPr>
          <w:rFonts w:ascii="Google Sans Text" w:eastAsia="Google Sans Text" w:hAnsi="Google Sans Text" w:cs="Google Sans Text"/>
          <w:color w:val="1B1C1D"/>
          <w:sz w:val="24"/>
          <w:szCs w:val="24"/>
        </w:rPr>
        <w:t xml:space="preserve"> Een mix van internationale reizigers (vooral uit Europa, Noord-Amerika en andere Aziatische landen) die geïnteresseerd zijn in ecotoerisme, culturele onderdompeling en de lokale levensstijl, en binnenlandse toeristen die de regio bezoeken voor ontspanning en culinaire ervaringen.</w:t>
      </w:r>
    </w:p>
    <w:p w14:paraId="5E520379" w14:textId="77777777" w:rsidR="00B16B06" w:rsidRDefault="00C75414" w:rsidP="00BE01A1">
      <w:pPr>
        <w:numPr>
          <w:ilvl w:val="0"/>
          <w:numId w:val="69"/>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Groeivoorspellingen:</w:t>
      </w:r>
      <w:r>
        <w:rPr>
          <w:rFonts w:ascii="Google Sans Text" w:eastAsia="Google Sans Text" w:hAnsi="Google Sans Text" w:cs="Google Sans Text"/>
          <w:color w:val="1B1C1D"/>
          <w:sz w:val="24"/>
          <w:szCs w:val="24"/>
        </w:rPr>
        <w:t xml:space="preserve"> De vooruitzichten zijn zeer positief, gestimuleerd door de toenemende bekendheid van Vietnam als een topbestemming, overheidsinvesteringen in toeristische infrastructuur en de focus op duurzaam toerisme.</w:t>
      </w:r>
    </w:p>
    <w:p w14:paraId="0B5C18CB"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Unieke Verkoopargumenten (USP's):</w:t>
      </w:r>
    </w:p>
    <w:p w14:paraId="672FE36F" w14:textId="77777777" w:rsidR="00B16B06" w:rsidRDefault="00C75414" w:rsidP="00BE01A1">
      <w:pPr>
        <w:numPr>
          <w:ilvl w:val="0"/>
          <w:numId w:val="7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Watercultuur:</w:t>
      </w:r>
      <w:r>
        <w:rPr>
          <w:rFonts w:ascii="Google Sans Text" w:eastAsia="Google Sans Text" w:hAnsi="Google Sans Text" w:cs="Google Sans Text"/>
          <w:color w:val="1B1C1D"/>
          <w:sz w:val="24"/>
          <w:szCs w:val="24"/>
        </w:rPr>
        <w:t xml:space="preserve"> Drijvende markten, boottochten door de kanalen, en het leven langs de rivieroevers.</w:t>
      </w:r>
    </w:p>
    <w:p w14:paraId="3335024D" w14:textId="77777777" w:rsidR="00B16B06" w:rsidRDefault="00C75414" w:rsidP="00BE01A1">
      <w:pPr>
        <w:numPr>
          <w:ilvl w:val="0"/>
          <w:numId w:val="7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Natuurlijke Schoonheid:</w:t>
      </w:r>
      <w:r>
        <w:rPr>
          <w:rFonts w:ascii="Google Sans Text" w:eastAsia="Google Sans Text" w:hAnsi="Google Sans Text" w:cs="Google Sans Text"/>
          <w:color w:val="1B1C1D"/>
          <w:sz w:val="24"/>
          <w:szCs w:val="24"/>
        </w:rPr>
        <w:t xml:space="preserve"> Uitgestrekte rijstvelden, fruitboomgaarden, mangrovebossen en unieke flora en fauna.</w:t>
      </w:r>
    </w:p>
    <w:p w14:paraId="13A609CF" w14:textId="77777777" w:rsidR="00B16B06" w:rsidRDefault="00C75414" w:rsidP="00BE01A1">
      <w:pPr>
        <w:numPr>
          <w:ilvl w:val="0"/>
          <w:numId w:val="7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Authentieke Ervaringen:</w:t>
      </w:r>
      <w:r>
        <w:rPr>
          <w:rFonts w:ascii="Google Sans Text" w:eastAsia="Google Sans Text" w:hAnsi="Google Sans Text" w:cs="Google Sans Text"/>
          <w:color w:val="1B1C1D"/>
          <w:sz w:val="24"/>
          <w:szCs w:val="24"/>
        </w:rPr>
        <w:t xml:space="preserve"> Kooklessen, bezoeken aan lokale ambachtslieden, en de mogelijkheid om deel te nemen aan het dagelijkse leven van de lokale bevolking.</w:t>
      </w:r>
    </w:p>
    <w:p w14:paraId="63D308C3" w14:textId="77777777" w:rsidR="00B16B06" w:rsidRDefault="00C75414" w:rsidP="00BE01A1">
      <w:pPr>
        <w:numPr>
          <w:ilvl w:val="0"/>
          <w:numId w:val="70"/>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Culinaire Scene:</w:t>
      </w:r>
      <w:r>
        <w:rPr>
          <w:rFonts w:ascii="Google Sans Text" w:eastAsia="Google Sans Text" w:hAnsi="Google Sans Text" w:cs="Google Sans Text"/>
          <w:color w:val="1B1C1D"/>
          <w:sz w:val="24"/>
          <w:szCs w:val="24"/>
        </w:rPr>
        <w:t xml:space="preserve"> Bekend om zijn verse zeevruchten, tropisch fruit en unieke lokale gerechten.</w:t>
      </w:r>
    </w:p>
    <w:p w14:paraId="32041461"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Huidige Toeristische Druk &amp; Capaciteit:</w:t>
      </w:r>
    </w:p>
    <w:p w14:paraId="618EAA86"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 toeristische druk in de Mekongdelta is nog beheersbaar, met name in de meer rurale gebieden buiten de grotere steden zoals </w:t>
      </w:r>
      <w:proofErr w:type="spellStart"/>
      <w:r>
        <w:rPr>
          <w:rFonts w:ascii="Google Sans Text" w:eastAsia="Google Sans Text" w:hAnsi="Google Sans Text" w:cs="Google Sans Text"/>
        </w:rPr>
        <w:t>Can</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Tho</w:t>
      </w:r>
      <w:proofErr w:type="spellEnd"/>
      <w:r>
        <w:rPr>
          <w:rFonts w:ascii="Google Sans Text" w:eastAsia="Google Sans Text" w:hAnsi="Google Sans Text" w:cs="Google Sans Text"/>
        </w:rPr>
        <w:t xml:space="preserve">. De huidige infrastructuur voor accommodatie is een mix van eenvoudige </w:t>
      </w:r>
      <w:proofErr w:type="spellStart"/>
      <w:r>
        <w:rPr>
          <w:rFonts w:ascii="Google Sans Text" w:eastAsia="Google Sans Text" w:hAnsi="Google Sans Text" w:cs="Google Sans Text"/>
        </w:rPr>
        <w:t>guesthouses</w:t>
      </w:r>
      <w:proofErr w:type="spellEnd"/>
      <w:r>
        <w:rPr>
          <w:rFonts w:ascii="Google Sans Text" w:eastAsia="Google Sans Text" w:hAnsi="Google Sans Text" w:cs="Google Sans Text"/>
        </w:rPr>
        <w:t xml:space="preserve"> en enkele grotere hotels, wat een aanzienlijk potentieel biedt voor de ontwikkeling van kwalitatieve, kleinschalige toeristische projecten. De focus ligt op het creëren van duurzame capaciteit die de lokale cultuur en natuur respecteert.</w:t>
      </w:r>
    </w:p>
    <w:p w14:paraId="3930B5FD" w14:textId="77777777" w:rsidR="00B16B06" w:rsidRDefault="00B16B06">
      <w:pPr>
        <w:pBdr>
          <w:top w:val="nil"/>
          <w:left w:val="nil"/>
          <w:bottom w:val="nil"/>
          <w:right w:val="nil"/>
          <w:between w:val="nil"/>
        </w:pBdr>
        <w:spacing w:after="240" w:line="275" w:lineRule="auto"/>
        <w:rPr>
          <w:rFonts w:ascii="Google Sans Text" w:eastAsia="Google Sans Text" w:hAnsi="Google Sans Text" w:cs="Google Sans Text"/>
        </w:rPr>
      </w:pPr>
    </w:p>
    <w:p w14:paraId="1CC2868D" w14:textId="77777777" w:rsidR="00B16B06" w:rsidRDefault="00C75414" w:rsidP="00B40848">
      <w:pPr>
        <w:pStyle w:val="Kop3"/>
      </w:pPr>
      <w:bookmarkStart w:id="57" w:name="_Toc204774353"/>
      <w:r>
        <w:lastRenderedPageBreak/>
        <w:t>4.5.3 Vastgoedmarkt Analyse &amp; Investeringslandschap</w:t>
      </w:r>
      <w:bookmarkEnd w:id="57"/>
    </w:p>
    <w:p w14:paraId="6DB08851"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286A7500"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Prijsanalyse:</w:t>
      </w:r>
    </w:p>
    <w:p w14:paraId="1717584B"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 vastgoedmarkt in de Mekongdelta is relatief ondergewaardeerd in vergelijking met de kustgebieden en grote steden van Vietnam. Voor typen panden die aan de criteria voldoen (traditionele huizen, landbouwgrond met potentieel voor </w:t>
      </w:r>
      <w:proofErr w:type="spellStart"/>
      <w:r>
        <w:rPr>
          <w:rFonts w:ascii="Google Sans Text" w:eastAsia="Google Sans Text" w:hAnsi="Google Sans Text" w:cs="Google Sans Text"/>
        </w:rPr>
        <w:t>homestays</w:t>
      </w:r>
      <w:proofErr w:type="spellEnd"/>
      <w:r>
        <w:rPr>
          <w:rFonts w:ascii="Google Sans Text" w:eastAsia="Google Sans Text" w:hAnsi="Google Sans Text" w:cs="Google Sans Text"/>
        </w:rPr>
        <w:t xml:space="preserve">), liggen de prijzen vaak tussen €300 - €700 per m². Dit maakt investeringen van onder de €60.000 zeer haalbaar. Ter vergelijking, in Ho Chi Minhstad of Da </w:t>
      </w:r>
      <w:proofErr w:type="spellStart"/>
      <w:r>
        <w:rPr>
          <w:rFonts w:ascii="Google Sans Text" w:eastAsia="Google Sans Text" w:hAnsi="Google Sans Text" w:cs="Google Sans Text"/>
        </w:rPr>
        <w:t>Nang</w:t>
      </w:r>
      <w:proofErr w:type="spellEnd"/>
      <w:r>
        <w:rPr>
          <w:rFonts w:ascii="Google Sans Text" w:eastAsia="Google Sans Text" w:hAnsi="Google Sans Text" w:cs="Google Sans Text"/>
        </w:rPr>
        <w:t xml:space="preserve"> kunnen prijzen aanzienlijk hoger liggen.</w:t>
      </w:r>
    </w:p>
    <w:p w14:paraId="75A3002C"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Renovatiepotentieel &amp; Kosten:</w:t>
      </w:r>
    </w:p>
    <w:p w14:paraId="094A8A67"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Er is een aanbod van traditionele huizen en structuren die zich goed lenen voor renovatie tot charmante toeristische accommodaties, vaak met behoud van de lokale architectuur.</w:t>
      </w:r>
    </w:p>
    <w:p w14:paraId="0BAC52FC" w14:textId="77777777" w:rsidR="00B16B06" w:rsidRDefault="00C75414" w:rsidP="00BE01A1">
      <w:pPr>
        <w:numPr>
          <w:ilvl w:val="0"/>
          <w:numId w:val="7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Basisrenovatie:</w:t>
      </w:r>
      <w:r>
        <w:rPr>
          <w:rFonts w:ascii="Google Sans Text" w:eastAsia="Google Sans Text" w:hAnsi="Google Sans Text" w:cs="Google Sans Text"/>
          <w:color w:val="1B1C1D"/>
          <w:sz w:val="24"/>
          <w:szCs w:val="24"/>
        </w:rPr>
        <w:t xml:space="preserve"> €300-€500 per m².</w:t>
      </w:r>
    </w:p>
    <w:p w14:paraId="6CF83E8C" w14:textId="77777777" w:rsidR="00B16B06" w:rsidRDefault="00C75414" w:rsidP="00BE01A1">
      <w:pPr>
        <w:numPr>
          <w:ilvl w:val="0"/>
          <w:numId w:val="71"/>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Middenwaardige</w:t>
      </w:r>
      <w:proofErr w:type="spellEnd"/>
      <w:r>
        <w:rPr>
          <w:rFonts w:ascii="Google Sans Text" w:eastAsia="Google Sans Text" w:hAnsi="Google Sans Text" w:cs="Google Sans Text"/>
          <w:b/>
          <w:color w:val="1B1C1D"/>
          <w:sz w:val="24"/>
          <w:szCs w:val="24"/>
        </w:rPr>
        <w:t xml:space="preserve"> renovatie:</w:t>
      </w:r>
      <w:r>
        <w:rPr>
          <w:rFonts w:ascii="Google Sans Text" w:eastAsia="Google Sans Text" w:hAnsi="Google Sans Text" w:cs="Google Sans Text"/>
          <w:color w:val="1B1C1D"/>
          <w:sz w:val="24"/>
          <w:szCs w:val="24"/>
        </w:rPr>
        <w:t xml:space="preserve"> €500-€750 per m².</w:t>
      </w:r>
    </w:p>
    <w:p w14:paraId="0A84791F" w14:textId="77777777" w:rsidR="00B16B06" w:rsidRDefault="00C75414" w:rsidP="00BE01A1">
      <w:pPr>
        <w:numPr>
          <w:ilvl w:val="0"/>
          <w:numId w:val="71"/>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Hoogwaardige renovatie: €750-€1000+ per m².</w:t>
      </w:r>
      <w:r>
        <w:rPr>
          <w:color w:val="000000"/>
        </w:rPr>
        <w:br/>
      </w:r>
      <w:r>
        <w:rPr>
          <w:rFonts w:ascii="Google Sans Text" w:eastAsia="Google Sans Text" w:hAnsi="Google Sans Text" w:cs="Google Sans Text"/>
          <w:color w:val="1B1C1D"/>
          <w:sz w:val="24"/>
          <w:szCs w:val="24"/>
        </w:rPr>
        <w:t>Verwachte Kostenposten: Arbeidskosten zijn competitief. Materialen zijn lokaal verkrijgbaar en betaalbaar. Vergunningsprocessen kunnen enige bureaucratie met zich meebrengen, maar zijn beheersbaar met lokale expertise.</w:t>
      </w:r>
    </w:p>
    <w:p w14:paraId="17276245"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Marktliquiditeit:</w:t>
      </w:r>
    </w:p>
    <w:p w14:paraId="5CF1B9E5"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liquiditeit van de vastgoedmarkt in de Mekongdelta is groeiende, gestimuleerd door zowel binnenlandse als internationale interesse.</w:t>
      </w:r>
    </w:p>
    <w:p w14:paraId="4075754F" w14:textId="77777777" w:rsidR="00B16B06" w:rsidRDefault="00C75414" w:rsidP="00BE01A1">
      <w:pPr>
        <w:numPr>
          <w:ilvl w:val="0"/>
          <w:numId w:val="72"/>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Kopersvraag</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Er is een toenemende vraag van Vietnamese investeerders en een groeiend aantal buitenlanders die de regio ontdekken.</w:t>
      </w:r>
    </w:p>
    <w:p w14:paraId="75223FD9" w14:textId="77777777" w:rsidR="00B16B06" w:rsidRDefault="00C75414" w:rsidP="00BE01A1">
      <w:pPr>
        <w:numPr>
          <w:ilvl w:val="0"/>
          <w:numId w:val="7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Aanbod:</w:t>
      </w:r>
      <w:r>
        <w:rPr>
          <w:rFonts w:ascii="Google Sans Text" w:eastAsia="Google Sans Text" w:hAnsi="Google Sans Text" w:cs="Google Sans Text"/>
          <w:color w:val="1B1C1D"/>
          <w:sz w:val="24"/>
          <w:szCs w:val="24"/>
        </w:rPr>
        <w:t xml:space="preserve"> Een stabiel aanbod van vastgoed, inclusief landbouwpercelen die kunnen worden omgevormd tot </w:t>
      </w:r>
      <w:proofErr w:type="spellStart"/>
      <w:r>
        <w:rPr>
          <w:rFonts w:ascii="Google Sans Text" w:eastAsia="Google Sans Text" w:hAnsi="Google Sans Text" w:cs="Google Sans Text"/>
          <w:color w:val="1B1C1D"/>
          <w:sz w:val="24"/>
          <w:szCs w:val="24"/>
        </w:rPr>
        <w:t>ecotoeristische</w:t>
      </w:r>
      <w:proofErr w:type="spellEnd"/>
      <w:r>
        <w:rPr>
          <w:rFonts w:ascii="Google Sans Text" w:eastAsia="Google Sans Text" w:hAnsi="Google Sans Text" w:cs="Google Sans Text"/>
          <w:color w:val="1B1C1D"/>
          <w:sz w:val="24"/>
          <w:szCs w:val="24"/>
        </w:rPr>
        <w:t xml:space="preserve"> projecten.</w:t>
      </w:r>
    </w:p>
    <w:p w14:paraId="3DF8541B" w14:textId="77777777" w:rsidR="00B16B06" w:rsidRDefault="00C75414" w:rsidP="00BE01A1">
      <w:pPr>
        <w:numPr>
          <w:ilvl w:val="0"/>
          <w:numId w:val="7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Juridische Processen:</w:t>
      </w:r>
      <w:r>
        <w:rPr>
          <w:rFonts w:ascii="Google Sans Text" w:eastAsia="Google Sans Text" w:hAnsi="Google Sans Text" w:cs="Google Sans Text"/>
          <w:color w:val="1B1C1D"/>
          <w:sz w:val="24"/>
          <w:szCs w:val="24"/>
        </w:rPr>
        <w:t xml:space="preserve"> Het proces van eigendomsoverdracht is gestandaardiseerd, maar vereist zorgvuldige </w:t>
      </w:r>
      <w:proofErr w:type="spellStart"/>
      <w:r>
        <w:rPr>
          <w:rFonts w:ascii="Google Sans Text" w:eastAsia="Google Sans Text" w:hAnsi="Google Sans Text" w:cs="Google Sans Text"/>
          <w:color w:val="1B1C1D"/>
          <w:sz w:val="24"/>
          <w:szCs w:val="24"/>
        </w:rPr>
        <w:t>due</w:t>
      </w:r>
      <w:proofErr w:type="spellEnd"/>
      <w:r>
        <w:rPr>
          <w:rFonts w:ascii="Google Sans Text" w:eastAsia="Google Sans Text" w:hAnsi="Google Sans Text" w:cs="Google Sans Text"/>
          <w:color w:val="1B1C1D"/>
          <w:sz w:val="24"/>
          <w:szCs w:val="24"/>
        </w:rPr>
        <w:t xml:space="preserve"> diligence, vooral met betrekking tot landtitels en gebruiksrechten.</w:t>
      </w:r>
    </w:p>
    <w:p w14:paraId="7ABF556A" w14:textId="77777777" w:rsidR="00B16B06" w:rsidRDefault="00C75414" w:rsidP="00BE01A1">
      <w:pPr>
        <w:numPr>
          <w:ilvl w:val="0"/>
          <w:numId w:val="7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Toegang tot Financiering:</w:t>
      </w:r>
      <w:r>
        <w:rPr>
          <w:rFonts w:ascii="Google Sans Text" w:eastAsia="Google Sans Text" w:hAnsi="Google Sans Text" w:cs="Google Sans Text"/>
          <w:color w:val="1B1C1D"/>
          <w:sz w:val="24"/>
          <w:szCs w:val="24"/>
        </w:rPr>
        <w:t xml:space="preserve"> Lokale financiering voor buitenlanders is beperkt, maar er zijn opties via internationale banken of gespecialiseerde fondsen.</w:t>
      </w:r>
    </w:p>
    <w:p w14:paraId="193CB9E6"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72874A80" w14:textId="77777777" w:rsidR="00B40848" w:rsidRDefault="00B40848">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3EA790A9" w14:textId="77777777" w:rsidR="00B40848" w:rsidRDefault="00B40848">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7917DD40" w14:textId="77777777" w:rsidR="00B40848" w:rsidRDefault="00B40848">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49B45FBB" w14:textId="77777777" w:rsidR="00B16B06" w:rsidRDefault="00C75414" w:rsidP="00B40848">
      <w:pPr>
        <w:pStyle w:val="Kop3"/>
      </w:pPr>
      <w:bookmarkStart w:id="58" w:name="_Toc204774354"/>
      <w:r>
        <w:lastRenderedPageBreak/>
        <w:t>4.5.4 Infrastructuur &amp; Bereikbaarheid</w:t>
      </w:r>
      <w:bookmarkEnd w:id="58"/>
    </w:p>
    <w:p w14:paraId="27C96519"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74383397"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Huidige Status:</w:t>
      </w:r>
    </w:p>
    <w:p w14:paraId="2B201AF2"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 Mekongdelta is redelijk goed verbonden.</w:t>
      </w:r>
    </w:p>
    <w:p w14:paraId="09B68FC2" w14:textId="77777777" w:rsidR="00B16B06" w:rsidRDefault="00C75414" w:rsidP="00BE01A1">
      <w:pPr>
        <w:numPr>
          <w:ilvl w:val="0"/>
          <w:numId w:val="7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Luchthavens:</w:t>
      </w:r>
      <w:r>
        <w:rPr>
          <w:rFonts w:ascii="Google Sans Text" w:eastAsia="Google Sans Text" w:hAnsi="Google Sans Text" w:cs="Google Sans Text"/>
          <w:color w:val="1B1C1D"/>
          <w:sz w:val="24"/>
          <w:szCs w:val="24"/>
        </w:rPr>
        <w:t xml:space="preserve"> De </w:t>
      </w:r>
      <w:proofErr w:type="spellStart"/>
      <w:r>
        <w:rPr>
          <w:rFonts w:ascii="Google Sans Text" w:eastAsia="Google Sans Text" w:hAnsi="Google Sans Text" w:cs="Google Sans Text"/>
          <w:color w:val="1B1C1D"/>
          <w:sz w:val="24"/>
          <w:szCs w:val="24"/>
        </w:rPr>
        <w:t>Can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Tho</w:t>
      </w:r>
      <w:proofErr w:type="spellEnd"/>
      <w:r>
        <w:rPr>
          <w:rFonts w:ascii="Google Sans Text" w:eastAsia="Google Sans Text" w:hAnsi="Google Sans Text" w:cs="Google Sans Text"/>
          <w:color w:val="1B1C1D"/>
          <w:sz w:val="24"/>
          <w:szCs w:val="24"/>
        </w:rPr>
        <w:t xml:space="preserve"> International Airport (VCA) is de grootste luchthaven in de regio, met vluchten naar binnenlandse bestemmingen en enkele internationale routes. Ho Chi Minhstad (SGN) is een belangrijke internationale hub op enkele uren rijden.</w:t>
      </w:r>
    </w:p>
    <w:p w14:paraId="3BB5B0C9" w14:textId="77777777" w:rsidR="00B16B06" w:rsidRDefault="00C75414" w:rsidP="00BE01A1">
      <w:pPr>
        <w:numPr>
          <w:ilvl w:val="0"/>
          <w:numId w:val="7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w:t>
      </w:r>
      <w:r>
        <w:rPr>
          <w:rFonts w:ascii="Google Sans Text" w:eastAsia="Google Sans Text" w:hAnsi="Google Sans Text" w:cs="Google Sans Text"/>
          <w:color w:val="1B1C1D"/>
          <w:sz w:val="24"/>
          <w:szCs w:val="24"/>
        </w:rPr>
        <w:t xml:space="preserve"> Het wegennetwerk is verbeterd, met hoofdwegen die de belangrijkste steden en provincies verbinden. Veel transport vindt echter nog steeds plaats via het uitgebreide netwerk van rivieren en kanalen.</w:t>
      </w:r>
    </w:p>
    <w:p w14:paraId="444BE869" w14:textId="77777777" w:rsidR="00B16B06" w:rsidRDefault="00C75414" w:rsidP="00BE01A1">
      <w:pPr>
        <w:numPr>
          <w:ilvl w:val="0"/>
          <w:numId w:val="7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Waterwegen:</w:t>
      </w:r>
      <w:r>
        <w:rPr>
          <w:rFonts w:ascii="Google Sans Text" w:eastAsia="Google Sans Text" w:hAnsi="Google Sans Text" w:cs="Google Sans Text"/>
          <w:color w:val="1B1C1D"/>
          <w:sz w:val="24"/>
          <w:szCs w:val="24"/>
        </w:rPr>
        <w:t xml:space="preserve"> De delta is beroemd om zijn waterwegen, die essentieel zijn voor transport en toerisme.</w:t>
      </w:r>
    </w:p>
    <w:p w14:paraId="2F1FD25F" w14:textId="77777777" w:rsidR="00B16B06" w:rsidRDefault="00C75414" w:rsidP="00BE01A1">
      <w:pPr>
        <w:numPr>
          <w:ilvl w:val="0"/>
          <w:numId w:val="73"/>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Digitale Infrastructuur:</w:t>
      </w:r>
      <w:r>
        <w:rPr>
          <w:rFonts w:ascii="Google Sans Text" w:eastAsia="Google Sans Text" w:hAnsi="Google Sans Text" w:cs="Google Sans Text"/>
          <w:color w:val="1B1C1D"/>
          <w:sz w:val="24"/>
          <w:szCs w:val="24"/>
        </w:rPr>
        <w:t xml:space="preserve"> Mobiele dekking is breed beschikbaar, en internettoegang (4G/LTE en groeiend glasvezelnetwerk) is redelijk tot goed in de meeste bewoonde gebieden.</w:t>
      </w:r>
    </w:p>
    <w:p w14:paraId="72D65243" w14:textId="77777777" w:rsidR="00B16B06" w:rsidRDefault="00C75414">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Ontwikkelingen:</w:t>
      </w:r>
    </w:p>
    <w:p w14:paraId="231EC6AF"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Vietnam investeert zwaar in infrastructuur.</w:t>
      </w:r>
    </w:p>
    <w:p w14:paraId="6EB8E23E" w14:textId="77777777" w:rsidR="00B16B06" w:rsidRDefault="00C75414" w:rsidP="00BE01A1">
      <w:pPr>
        <w:numPr>
          <w:ilvl w:val="0"/>
          <w:numId w:val="7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Wegen- en Bruggenprojecten:</w:t>
      </w:r>
      <w:r>
        <w:rPr>
          <w:rFonts w:ascii="Google Sans Text" w:eastAsia="Google Sans Text" w:hAnsi="Google Sans Text" w:cs="Google Sans Text"/>
          <w:color w:val="1B1C1D"/>
          <w:sz w:val="24"/>
          <w:szCs w:val="24"/>
        </w:rPr>
        <w:t xml:space="preserve"> Verdere uitbreiding en verbetering van het wegennetwerk, inclusief nieuwe bruggen over de Mekong, om de verbinding binnen de delta en met Ho Chi Minhstad te verbeteren.</w:t>
      </w:r>
    </w:p>
    <w:p w14:paraId="45CC46FB" w14:textId="77777777" w:rsidR="00B16B06" w:rsidRDefault="00C75414" w:rsidP="00BE01A1">
      <w:pPr>
        <w:numPr>
          <w:ilvl w:val="0"/>
          <w:numId w:val="7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Luchthavenupgrades:</w:t>
      </w:r>
      <w:r>
        <w:rPr>
          <w:rFonts w:ascii="Google Sans Text" w:eastAsia="Google Sans Text" w:hAnsi="Google Sans Text" w:cs="Google Sans Text"/>
          <w:color w:val="1B1C1D"/>
          <w:sz w:val="24"/>
          <w:szCs w:val="24"/>
        </w:rPr>
        <w:t xml:space="preserve"> Upgrades aan de </w:t>
      </w:r>
      <w:proofErr w:type="spellStart"/>
      <w:r>
        <w:rPr>
          <w:rFonts w:ascii="Google Sans Text" w:eastAsia="Google Sans Text" w:hAnsi="Google Sans Text" w:cs="Google Sans Text"/>
          <w:color w:val="1B1C1D"/>
          <w:sz w:val="24"/>
          <w:szCs w:val="24"/>
        </w:rPr>
        <w:t>Can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Tho</w:t>
      </w:r>
      <w:proofErr w:type="spellEnd"/>
      <w:r>
        <w:rPr>
          <w:rFonts w:ascii="Google Sans Text" w:eastAsia="Google Sans Text" w:hAnsi="Google Sans Text" w:cs="Google Sans Text"/>
          <w:color w:val="1B1C1D"/>
          <w:sz w:val="24"/>
          <w:szCs w:val="24"/>
        </w:rPr>
        <w:t xml:space="preserve"> luchthaven om de capaciteit en internationale verbindingen te verbeteren.</w:t>
      </w:r>
    </w:p>
    <w:p w14:paraId="48CBD8BC" w14:textId="77777777" w:rsidR="00B16B06" w:rsidRDefault="00C75414" w:rsidP="00BE01A1">
      <w:pPr>
        <w:numPr>
          <w:ilvl w:val="0"/>
          <w:numId w:val="74"/>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Digitale Connectiviteit:</w:t>
      </w:r>
      <w:r>
        <w:rPr>
          <w:rFonts w:ascii="Google Sans Text" w:eastAsia="Google Sans Text" w:hAnsi="Google Sans Text" w:cs="Google Sans Text"/>
          <w:color w:val="1B1C1D"/>
          <w:sz w:val="24"/>
          <w:szCs w:val="24"/>
        </w:rPr>
        <w:t xml:space="preserve"> Uitbreiding van glasvezelnetwerken en verbetering van mobiele dekking, ook in rurale gebieden, om de groeiende vraag naar betrouwbaar internet te ondersteunen.</w:t>
      </w:r>
    </w:p>
    <w:p w14:paraId="4F467E0F"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5E5EF684" w14:textId="77777777" w:rsidR="00B16B06" w:rsidRDefault="00C75414" w:rsidP="00B40848">
      <w:pPr>
        <w:pStyle w:val="Kop3"/>
      </w:pPr>
      <w:bookmarkStart w:id="59" w:name="_Toc204774355"/>
      <w:r>
        <w:t>4.5.5 Juridisch, Fiscale &amp; Overheidsbeleid</w:t>
      </w:r>
      <w:bookmarkEnd w:id="59"/>
    </w:p>
    <w:p w14:paraId="7C240376"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CA5BA16"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Buitenlands Eigendom:</w:t>
      </w:r>
    </w:p>
    <w:p w14:paraId="4CE086FA" w14:textId="77777777" w:rsidR="00B16B06" w:rsidRDefault="00C75414">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Het juridisch kader voor buitenlands vastgoedeigendom in Vietnam is complex en evolueert.</w:t>
      </w:r>
    </w:p>
    <w:p w14:paraId="5CA70C5F" w14:textId="77777777" w:rsidR="00B16B06" w:rsidRDefault="00C75414" w:rsidP="00BE01A1">
      <w:pPr>
        <w:numPr>
          <w:ilvl w:val="0"/>
          <w:numId w:val="7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Beperkingen:</w:t>
      </w:r>
      <w:r>
        <w:rPr>
          <w:rFonts w:ascii="Google Sans Text" w:eastAsia="Google Sans Text" w:hAnsi="Google Sans Text" w:cs="Google Sans Text"/>
          <w:color w:val="1B1C1D"/>
          <w:sz w:val="24"/>
          <w:szCs w:val="24"/>
        </w:rPr>
        <w:t xml:space="preserve"> Buitenlanders kunnen geen direct eigendom verwerven van land in Vietnam. Land is eigendom van de staat.</w:t>
      </w:r>
    </w:p>
    <w:p w14:paraId="0F927367" w14:textId="77777777" w:rsidR="00B16B06" w:rsidRDefault="00C75414" w:rsidP="00BE01A1">
      <w:pPr>
        <w:numPr>
          <w:ilvl w:val="0"/>
          <w:numId w:val="7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Alternatieven:</w:t>
      </w:r>
    </w:p>
    <w:p w14:paraId="0061F690" w14:textId="77777777" w:rsidR="00B16B06" w:rsidRDefault="00C75414" w:rsidP="00BE01A1">
      <w:pPr>
        <w:numPr>
          <w:ilvl w:val="1"/>
          <w:numId w:val="7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Land </w:t>
      </w:r>
      <w:proofErr w:type="spellStart"/>
      <w:r>
        <w:rPr>
          <w:rFonts w:ascii="Google Sans Text" w:eastAsia="Google Sans Text" w:hAnsi="Google Sans Text" w:cs="Google Sans Text"/>
          <w:b/>
          <w:color w:val="1B1C1D"/>
          <w:sz w:val="24"/>
          <w:szCs w:val="24"/>
        </w:rPr>
        <w:t>Use</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Rights</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Certificates</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LURCs</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Buitenlanders kunnen </w:t>
      </w:r>
      <w:proofErr w:type="spellStart"/>
      <w:r>
        <w:rPr>
          <w:rFonts w:ascii="Google Sans Text" w:eastAsia="Google Sans Text" w:hAnsi="Google Sans Text" w:cs="Google Sans Text"/>
          <w:color w:val="1B1C1D"/>
          <w:sz w:val="24"/>
          <w:szCs w:val="24"/>
        </w:rPr>
        <w:t>LURCs</w:t>
      </w:r>
      <w:proofErr w:type="spellEnd"/>
      <w:r>
        <w:rPr>
          <w:rFonts w:ascii="Google Sans Text" w:eastAsia="Google Sans Text" w:hAnsi="Google Sans Text" w:cs="Google Sans Text"/>
          <w:color w:val="1B1C1D"/>
          <w:sz w:val="24"/>
          <w:szCs w:val="24"/>
        </w:rPr>
        <w:t xml:space="preserve"> verwerven voor een bepaalde periode (meestal 50 jaar, verlengbaar), wat vergelijkbaar is met een </w:t>
      </w:r>
      <w:proofErr w:type="spellStart"/>
      <w:r>
        <w:rPr>
          <w:rFonts w:ascii="Google Sans Text" w:eastAsia="Google Sans Text" w:hAnsi="Google Sans Text" w:cs="Google Sans Text"/>
          <w:color w:val="1B1C1D"/>
          <w:sz w:val="24"/>
          <w:szCs w:val="24"/>
        </w:rPr>
        <w:t>leasehold</w:t>
      </w:r>
      <w:proofErr w:type="spellEnd"/>
      <w:r>
        <w:rPr>
          <w:rFonts w:ascii="Google Sans Text" w:eastAsia="Google Sans Text" w:hAnsi="Google Sans Text" w:cs="Google Sans Text"/>
          <w:color w:val="1B1C1D"/>
          <w:sz w:val="24"/>
          <w:szCs w:val="24"/>
        </w:rPr>
        <w:t>.</w:t>
      </w:r>
    </w:p>
    <w:p w14:paraId="493C9202" w14:textId="77777777" w:rsidR="00B16B06" w:rsidRDefault="00C75414" w:rsidP="00BE01A1">
      <w:pPr>
        <w:numPr>
          <w:ilvl w:val="1"/>
          <w:numId w:val="7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Bedrijfsstructuren:</w:t>
      </w:r>
      <w:r>
        <w:rPr>
          <w:rFonts w:ascii="Google Sans Text" w:eastAsia="Google Sans Text" w:hAnsi="Google Sans Text" w:cs="Google Sans Text"/>
          <w:color w:val="1B1C1D"/>
          <w:sz w:val="24"/>
          <w:szCs w:val="24"/>
        </w:rPr>
        <w:t xml:space="preserve"> Oprichting van een Vietnamese onderneming met buitenlands kapitaal is de meest voorkomende methode voor buitenlandse investeerders om vastgoed te verwerven en te exploiteren. Dit vereist zorgvuldige naleving van de investeringswetgeving.</w:t>
      </w:r>
    </w:p>
    <w:p w14:paraId="33BA2A33" w14:textId="77777777" w:rsidR="00B16B06" w:rsidRDefault="00C75414" w:rsidP="00BE01A1">
      <w:pPr>
        <w:numPr>
          <w:ilvl w:val="1"/>
          <w:numId w:val="7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Condominium Units:</w:t>
      </w:r>
      <w:r>
        <w:rPr>
          <w:rFonts w:ascii="Google Sans Text" w:eastAsia="Google Sans Text" w:hAnsi="Google Sans Text" w:cs="Google Sans Text"/>
          <w:color w:val="1B1C1D"/>
          <w:sz w:val="24"/>
          <w:szCs w:val="24"/>
        </w:rPr>
        <w:t xml:space="preserve"> Buitenlanders kunnen direct eigendom verwerven van appartementen in condominiumprojecten, maar dit is minder relevant voor rurale, ondergewaardeerde panden.</w:t>
      </w:r>
    </w:p>
    <w:p w14:paraId="07F1B5BB" w14:textId="77777777" w:rsidR="00B16B06" w:rsidRDefault="00C75414" w:rsidP="00BE01A1">
      <w:pPr>
        <w:numPr>
          <w:ilvl w:val="0"/>
          <w:numId w:val="7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Proces van Eigendomsoverdracht:</w:t>
      </w:r>
      <w:r>
        <w:rPr>
          <w:rFonts w:ascii="Google Sans Text" w:eastAsia="Google Sans Text" w:hAnsi="Google Sans Text" w:cs="Google Sans Text"/>
          <w:color w:val="1B1C1D"/>
          <w:sz w:val="24"/>
          <w:szCs w:val="24"/>
        </w:rPr>
        <w:t xml:space="preserve"> Het proces omvat </w:t>
      </w:r>
      <w:proofErr w:type="spellStart"/>
      <w:r>
        <w:rPr>
          <w:rFonts w:ascii="Google Sans Text" w:eastAsia="Google Sans Text" w:hAnsi="Google Sans Text" w:cs="Google Sans Text"/>
          <w:color w:val="1B1C1D"/>
          <w:sz w:val="24"/>
          <w:szCs w:val="24"/>
        </w:rPr>
        <w:t>due</w:t>
      </w:r>
      <w:proofErr w:type="spellEnd"/>
      <w:r>
        <w:rPr>
          <w:rFonts w:ascii="Google Sans Text" w:eastAsia="Google Sans Text" w:hAnsi="Google Sans Text" w:cs="Google Sans Text"/>
          <w:color w:val="1B1C1D"/>
          <w:sz w:val="24"/>
          <w:szCs w:val="24"/>
        </w:rPr>
        <w:t xml:space="preserve"> diligence, opstellen van contracten, betaling van belastingen en registratie bij de relevante autoriteiten. Dit vereist de expertise van een ervaren lokale advocaat.</w:t>
      </w:r>
    </w:p>
    <w:p w14:paraId="5ED57A2F"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Belastingregime:</w:t>
      </w:r>
    </w:p>
    <w:p w14:paraId="3EBD4034" w14:textId="77777777" w:rsidR="00B16B06" w:rsidRDefault="00C75414" w:rsidP="00BE01A1">
      <w:pPr>
        <w:numPr>
          <w:ilvl w:val="0"/>
          <w:numId w:val="7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Aankoopbelasting:</w:t>
      </w:r>
      <w:r>
        <w:rPr>
          <w:rFonts w:ascii="Google Sans Text" w:eastAsia="Google Sans Text" w:hAnsi="Google Sans Text" w:cs="Google Sans Text"/>
          <w:color w:val="1B1C1D"/>
          <w:sz w:val="24"/>
          <w:szCs w:val="24"/>
        </w:rPr>
        <w:t xml:space="preserve"> Registratiekosten en notarisleges zijn van toepassing, variërend afhankelijk van de transactiewaarde.</w:t>
      </w:r>
    </w:p>
    <w:p w14:paraId="7D54F0A4" w14:textId="77777777" w:rsidR="00B16B06" w:rsidRDefault="00C75414" w:rsidP="00BE01A1">
      <w:pPr>
        <w:numPr>
          <w:ilvl w:val="0"/>
          <w:numId w:val="7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Jaarlijkse Onroerendezaakbelasting:</w:t>
      </w:r>
      <w:r>
        <w:rPr>
          <w:rFonts w:ascii="Google Sans Text" w:eastAsia="Google Sans Text" w:hAnsi="Google Sans Text" w:cs="Google Sans Text"/>
          <w:color w:val="1B1C1D"/>
          <w:sz w:val="24"/>
          <w:szCs w:val="24"/>
        </w:rPr>
        <w:t xml:space="preserve"> Een relatief lage jaarlijkse grondgebruiksbelasting.</w:t>
      </w:r>
    </w:p>
    <w:p w14:paraId="3EA0B70B" w14:textId="77777777" w:rsidR="00B16B06" w:rsidRDefault="00C75414" w:rsidP="00BE01A1">
      <w:pPr>
        <w:numPr>
          <w:ilvl w:val="0"/>
          <w:numId w:val="7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Inkomstenbelasting op Huurinkomsten:</w:t>
      </w:r>
      <w:r>
        <w:rPr>
          <w:rFonts w:ascii="Google Sans Text" w:eastAsia="Google Sans Text" w:hAnsi="Google Sans Text" w:cs="Google Sans Text"/>
          <w:color w:val="1B1C1D"/>
          <w:sz w:val="24"/>
          <w:szCs w:val="24"/>
        </w:rPr>
        <w:t xml:space="preserve"> Huurinkomsten zijn onderworpen aan inkomstenbelasting, met tarieven die afhangen van de aard van de inkomsten en de status van de investeerder.</w:t>
      </w:r>
    </w:p>
    <w:p w14:paraId="369AF764" w14:textId="77777777" w:rsidR="00B16B06" w:rsidRDefault="00C75414" w:rsidP="00BE01A1">
      <w:pPr>
        <w:numPr>
          <w:ilvl w:val="0"/>
          <w:numId w:val="7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Kapitaalwinstbelasting:</w:t>
      </w:r>
      <w:r>
        <w:rPr>
          <w:rFonts w:ascii="Google Sans Text" w:eastAsia="Google Sans Text" w:hAnsi="Google Sans Text" w:cs="Google Sans Text"/>
          <w:color w:val="1B1C1D"/>
          <w:sz w:val="24"/>
          <w:szCs w:val="24"/>
        </w:rPr>
        <w:t xml:space="preserve"> Belasting op de winst bij verkoop van vastgoed is van toepassing.</w:t>
      </w:r>
    </w:p>
    <w:p w14:paraId="72117B5C" w14:textId="77777777" w:rsidR="00B16B06" w:rsidRDefault="00C75414" w:rsidP="00BE01A1">
      <w:pPr>
        <w:numPr>
          <w:ilvl w:val="0"/>
          <w:numId w:val="77"/>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Belastingvoordelen:</w:t>
      </w:r>
      <w:r>
        <w:rPr>
          <w:rFonts w:ascii="Google Sans Text" w:eastAsia="Google Sans Text" w:hAnsi="Google Sans Text" w:cs="Google Sans Text"/>
          <w:color w:val="1B1C1D"/>
          <w:sz w:val="24"/>
          <w:szCs w:val="24"/>
        </w:rPr>
        <w:t xml:space="preserve"> De Vietnamese overheid biedt investeringsstimulansen voor projecten in specifieke sectoren of regio's, inclusief toerisme en plattelandsontwikkeling.</w:t>
      </w:r>
    </w:p>
    <w:p w14:paraId="23B675EE"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Investeringsstimulansen &amp; Visumprogramma's:</w:t>
      </w:r>
    </w:p>
    <w:p w14:paraId="29D6E887" w14:textId="77777777" w:rsidR="00B16B06" w:rsidRDefault="00C75414" w:rsidP="00BE01A1">
      <w:pPr>
        <w:numPr>
          <w:ilvl w:val="0"/>
          <w:numId w:val="7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Investeringswetgeving:</w:t>
      </w:r>
      <w:r>
        <w:rPr>
          <w:rFonts w:ascii="Google Sans Text" w:eastAsia="Google Sans Text" w:hAnsi="Google Sans Text" w:cs="Google Sans Text"/>
          <w:color w:val="1B1C1D"/>
          <w:sz w:val="24"/>
          <w:szCs w:val="24"/>
        </w:rPr>
        <w:t xml:space="preserve"> Vietnam heeft de afgelopen jaren de wetgeving voor buitenlandse investeringen versoepeld om meer kapitaal aan te trekken.</w:t>
      </w:r>
    </w:p>
    <w:p w14:paraId="34A35E4F" w14:textId="77777777" w:rsidR="00B16B06" w:rsidRDefault="00C75414" w:rsidP="00BE01A1">
      <w:pPr>
        <w:numPr>
          <w:ilvl w:val="0"/>
          <w:numId w:val="78"/>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Visumprogramma's:</w:t>
      </w:r>
      <w:r>
        <w:rPr>
          <w:rFonts w:ascii="Google Sans Text" w:eastAsia="Google Sans Text" w:hAnsi="Google Sans Text" w:cs="Google Sans Text"/>
          <w:color w:val="1B1C1D"/>
          <w:sz w:val="24"/>
          <w:szCs w:val="24"/>
        </w:rPr>
        <w:t xml:space="preserve"> Vietnam biedt verschillende visumopties, waaronder e-visa en </w:t>
      </w:r>
      <w:proofErr w:type="spellStart"/>
      <w:r>
        <w:rPr>
          <w:rFonts w:ascii="Google Sans Text" w:eastAsia="Google Sans Text" w:hAnsi="Google Sans Text" w:cs="Google Sans Text"/>
          <w:color w:val="1B1C1D"/>
          <w:sz w:val="24"/>
          <w:szCs w:val="24"/>
        </w:rPr>
        <w:t>langetermijnvisa</w:t>
      </w:r>
      <w:proofErr w:type="spellEnd"/>
      <w:r>
        <w:rPr>
          <w:rFonts w:ascii="Google Sans Text" w:eastAsia="Google Sans Text" w:hAnsi="Google Sans Text" w:cs="Google Sans Text"/>
          <w:color w:val="1B1C1D"/>
          <w:sz w:val="24"/>
          <w:szCs w:val="24"/>
        </w:rPr>
        <w:t xml:space="preserve"> voor investeerders, hoewel er geen specifiek "gouden visum" programma is voor vastgoedinvesteringen.</w:t>
      </w:r>
    </w:p>
    <w:p w14:paraId="7A65B950" w14:textId="77777777" w:rsidR="00B16B06" w:rsidRDefault="00B16B06">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2B83303E" w14:textId="77777777" w:rsidR="00B16B06" w:rsidRDefault="00C75414" w:rsidP="00B40848">
      <w:pPr>
        <w:pStyle w:val="Kop3"/>
      </w:pPr>
      <w:bookmarkStart w:id="60" w:name="_Toc204774356"/>
      <w:r>
        <w:lastRenderedPageBreak/>
        <w:t>4.5.6 Financiële Projecties &amp; ROI Detail</w:t>
      </w:r>
      <w:bookmarkEnd w:id="60"/>
    </w:p>
    <w:p w14:paraId="62DE8FDD" w14:textId="77777777" w:rsidR="00B16B06" w:rsidRDefault="00B16B06">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F420D38" w14:textId="77777777" w:rsidR="00B16B06" w:rsidRDefault="00C75414">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Verwachte ROI-range:</w:t>
      </w:r>
      <w:r>
        <w:rPr>
          <w:rFonts w:ascii="Google Sans Text" w:eastAsia="Google Sans Text" w:hAnsi="Google Sans Text" w:cs="Google Sans Text"/>
          <w:color w:val="1B1C1D"/>
          <w:sz w:val="24"/>
          <w:szCs w:val="24"/>
        </w:rPr>
        <w:t xml:space="preserve"> De verwachte Return on Investment (ROI) voor een gerenoveerd vastgoedobject in de Mekongdelta, gericht op </w:t>
      </w:r>
      <w:proofErr w:type="spellStart"/>
      <w:r>
        <w:rPr>
          <w:rFonts w:ascii="Google Sans Text" w:eastAsia="Google Sans Text" w:hAnsi="Google Sans Text" w:cs="Google Sans Text"/>
          <w:color w:val="1B1C1D"/>
          <w:sz w:val="24"/>
          <w:szCs w:val="24"/>
        </w:rPr>
        <w:t>kortetermijnverhuur</w:t>
      </w:r>
      <w:proofErr w:type="spellEnd"/>
      <w:r>
        <w:rPr>
          <w:rFonts w:ascii="Google Sans Text" w:eastAsia="Google Sans Text" w:hAnsi="Google Sans Text" w:cs="Google Sans Text"/>
          <w:color w:val="1B1C1D"/>
          <w:sz w:val="24"/>
          <w:szCs w:val="24"/>
        </w:rPr>
        <w:t>, ligt tussen de 17% en 24% op jaarbasis. Deze range is gebaseerd op een investering van circa €100.000, inclusief aankoop en renovatie.</w:t>
      </w:r>
    </w:p>
    <w:p w14:paraId="7401E173" w14:textId="77777777" w:rsidR="00B16B06" w:rsidRDefault="00C75414">
      <w:pPr>
        <w:pBdr>
          <w:top w:val="nil"/>
          <w:left w:val="nil"/>
          <w:bottom w:val="nil"/>
          <w:right w:val="nil"/>
          <w:between w:val="nil"/>
        </w:pBdr>
        <w:spacing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Gedetailleerde Aannames:</w:t>
      </w:r>
    </w:p>
    <w:p w14:paraId="0732FD41" w14:textId="77777777" w:rsidR="00B16B06" w:rsidRDefault="00C75414" w:rsidP="00BE01A1">
      <w:pPr>
        <w:numPr>
          <w:ilvl w:val="0"/>
          <w:numId w:val="7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Geschatte </w:t>
      </w:r>
      <w:proofErr w:type="spellStart"/>
      <w:r>
        <w:rPr>
          <w:rFonts w:ascii="Google Sans Text" w:eastAsia="Google Sans Text" w:hAnsi="Google Sans Text" w:cs="Google Sans Text"/>
          <w:b/>
          <w:color w:val="1B1C1D"/>
          <w:sz w:val="24"/>
          <w:szCs w:val="24"/>
        </w:rPr>
        <w:t>Airbnb</w:t>
      </w:r>
      <w:proofErr w:type="spellEnd"/>
      <w:r>
        <w:rPr>
          <w:rFonts w:ascii="Google Sans Text" w:eastAsia="Google Sans Text" w:hAnsi="Google Sans Text" w:cs="Google Sans Text"/>
          <w:b/>
          <w:color w:val="1B1C1D"/>
          <w:sz w:val="24"/>
          <w:szCs w:val="24"/>
        </w:rPr>
        <w:t xml:space="preserve"> bezettingsgraad:</w:t>
      </w:r>
      <w:r>
        <w:rPr>
          <w:rFonts w:ascii="Google Sans Text" w:eastAsia="Google Sans Text" w:hAnsi="Google Sans Text" w:cs="Google Sans Text"/>
          <w:color w:val="1B1C1D"/>
          <w:sz w:val="24"/>
          <w:szCs w:val="24"/>
        </w:rPr>
        <w:t xml:space="preserve"> Op basis van geaggregeerde data voor vergelijkbare accommodaties in de regio, wordt een realistische gemiddelde bezettingsgraad van 57-67% verwacht. Dit kan variëren met seizoenen, met pieken tijdens vakanties en dalen in het laagseizoen.</w:t>
      </w:r>
    </w:p>
    <w:p w14:paraId="4A2A5F7C" w14:textId="77777777" w:rsidR="00B16B06" w:rsidRDefault="00C75414" w:rsidP="00BE01A1">
      <w:pPr>
        <w:numPr>
          <w:ilvl w:val="0"/>
          <w:numId w:val="7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Geschatte </w:t>
      </w:r>
      <w:proofErr w:type="spellStart"/>
      <w:r>
        <w:rPr>
          <w:rFonts w:ascii="Google Sans Text" w:eastAsia="Google Sans Text" w:hAnsi="Google Sans Text" w:cs="Google Sans Text"/>
          <w:b/>
          <w:color w:val="1B1C1D"/>
          <w:sz w:val="24"/>
          <w:szCs w:val="24"/>
        </w:rPr>
        <w:t>Average</w:t>
      </w:r>
      <w:proofErr w:type="spellEnd"/>
      <w:r>
        <w:rPr>
          <w:rFonts w:ascii="Google Sans Text" w:eastAsia="Google Sans Text" w:hAnsi="Google Sans Text" w:cs="Google Sans Text"/>
          <w:b/>
          <w:color w:val="1B1C1D"/>
          <w:sz w:val="24"/>
          <w:szCs w:val="24"/>
        </w:rPr>
        <w:t xml:space="preserve"> Daily </w:t>
      </w:r>
      <w:proofErr w:type="spellStart"/>
      <w:r>
        <w:rPr>
          <w:rFonts w:ascii="Google Sans Text" w:eastAsia="Google Sans Text" w:hAnsi="Google Sans Text" w:cs="Google Sans Text"/>
          <w:b/>
          <w:color w:val="1B1C1D"/>
          <w:sz w:val="24"/>
          <w:szCs w:val="24"/>
        </w:rPr>
        <w:t>Rate</w:t>
      </w:r>
      <w:proofErr w:type="spellEnd"/>
      <w:r>
        <w:rPr>
          <w:rFonts w:ascii="Google Sans Text" w:eastAsia="Google Sans Text" w:hAnsi="Google Sans Text" w:cs="Google Sans Text"/>
          <w:b/>
          <w:color w:val="1B1C1D"/>
          <w:sz w:val="24"/>
          <w:szCs w:val="24"/>
        </w:rPr>
        <w:t xml:space="preserve"> (ADR):</w:t>
      </w:r>
      <w:r>
        <w:rPr>
          <w:rFonts w:ascii="Google Sans Text" w:eastAsia="Google Sans Text" w:hAnsi="Google Sans Text" w:cs="Google Sans Text"/>
          <w:color w:val="1B1C1D"/>
          <w:sz w:val="24"/>
          <w:szCs w:val="24"/>
        </w:rPr>
        <w:t xml:space="preserve"> De geschatte ADR voor een gerenoveerd pand van hoge kwaliteit in de geselecteerde gebieden ligt tussen €40 en €70, afhankelijk van de grootte, voorzieningen en seizoensgebonden vraag.</w:t>
      </w:r>
    </w:p>
    <w:p w14:paraId="569DECB7" w14:textId="77777777" w:rsidR="00B16B06" w:rsidRDefault="00C75414" w:rsidP="00BE01A1">
      <w:pPr>
        <w:numPr>
          <w:ilvl w:val="0"/>
          <w:numId w:val="7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Gedetailleerde uitsplitsing van operationele kosten (als percentage van bruto-omzet):</w:t>
      </w:r>
    </w:p>
    <w:p w14:paraId="038F0C10" w14:textId="77777777" w:rsidR="00B16B06" w:rsidRDefault="00C75414" w:rsidP="00BE01A1">
      <w:pPr>
        <w:numPr>
          <w:ilvl w:val="1"/>
          <w:numId w:val="8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Schoonmaak &amp; Onderhoud: 10-15%</w:t>
      </w:r>
    </w:p>
    <w:p w14:paraId="21CE84A7" w14:textId="77777777" w:rsidR="00B16B06" w:rsidRDefault="00C75414" w:rsidP="00BE01A1">
      <w:pPr>
        <w:numPr>
          <w:ilvl w:val="1"/>
          <w:numId w:val="8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Nutsvoorzieningen (elektriciteit, water, internet): 8-12%</w:t>
      </w:r>
    </w:p>
    <w:p w14:paraId="0AC3AF0C" w14:textId="77777777" w:rsidR="00B16B06" w:rsidRDefault="00C75414" w:rsidP="00BE01A1">
      <w:pPr>
        <w:numPr>
          <w:ilvl w:val="1"/>
          <w:numId w:val="8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Platformkosten (</w:t>
      </w:r>
      <w:proofErr w:type="spellStart"/>
      <w:r>
        <w:rPr>
          <w:rFonts w:ascii="Google Sans Text" w:eastAsia="Google Sans Text" w:hAnsi="Google Sans Text" w:cs="Google Sans Text"/>
          <w:color w:val="1B1C1D"/>
          <w:sz w:val="24"/>
          <w:szCs w:val="24"/>
        </w:rPr>
        <w:t>Airbnb</w:t>
      </w:r>
      <w:proofErr w:type="spellEnd"/>
      <w:r>
        <w:rPr>
          <w:rFonts w:ascii="Google Sans Text" w:eastAsia="Google Sans Text" w:hAnsi="Google Sans Text" w:cs="Google Sans Text"/>
          <w:color w:val="1B1C1D"/>
          <w:sz w:val="24"/>
          <w:szCs w:val="24"/>
        </w:rPr>
        <w:t>/Booking.com): 3-5%</w:t>
      </w:r>
    </w:p>
    <w:p w14:paraId="101F1191" w14:textId="77777777" w:rsidR="00B16B06" w:rsidRDefault="00C75414" w:rsidP="00BE01A1">
      <w:pPr>
        <w:numPr>
          <w:ilvl w:val="1"/>
          <w:numId w:val="8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Property Management </w:t>
      </w:r>
      <w:proofErr w:type="spellStart"/>
      <w:r>
        <w:rPr>
          <w:rFonts w:ascii="Google Sans Text" w:eastAsia="Google Sans Text" w:hAnsi="Google Sans Text" w:cs="Google Sans Text"/>
          <w:color w:val="1B1C1D"/>
          <w:sz w:val="24"/>
          <w:szCs w:val="24"/>
        </w:rPr>
        <w:t>Fees</w:t>
      </w:r>
      <w:proofErr w:type="spellEnd"/>
      <w:r>
        <w:rPr>
          <w:rFonts w:ascii="Google Sans Text" w:eastAsia="Google Sans Text" w:hAnsi="Google Sans Text" w:cs="Google Sans Text"/>
          <w:color w:val="1B1C1D"/>
          <w:sz w:val="24"/>
          <w:szCs w:val="24"/>
        </w:rPr>
        <w:t>: 15-20% (indien uitbesteed)</w:t>
      </w:r>
    </w:p>
    <w:p w14:paraId="12F18F9E" w14:textId="77777777" w:rsidR="00B16B06" w:rsidRDefault="00C75414" w:rsidP="00BE01A1">
      <w:pPr>
        <w:numPr>
          <w:ilvl w:val="1"/>
          <w:numId w:val="8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Verzekeringen: 1-2%</w:t>
      </w:r>
    </w:p>
    <w:p w14:paraId="581F4CC1" w14:textId="77777777" w:rsidR="00B16B06" w:rsidRDefault="00C75414" w:rsidP="00BE01A1">
      <w:pPr>
        <w:numPr>
          <w:ilvl w:val="1"/>
          <w:numId w:val="8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Overige (klein onderhoud, verbruiksartikelen): 5-8%</w:t>
      </w:r>
    </w:p>
    <w:p w14:paraId="43D07655" w14:textId="77777777" w:rsidR="00B16B06" w:rsidRDefault="00C75414" w:rsidP="00BE01A1">
      <w:pPr>
        <w:numPr>
          <w:ilvl w:val="1"/>
          <w:numId w:val="8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Totale operationele kosten: Gemiddeld 42-62% van bruto-omzet.</w:t>
      </w:r>
    </w:p>
    <w:p w14:paraId="2F587C23" w14:textId="77777777" w:rsidR="00B16B06" w:rsidRDefault="00C75414" w:rsidP="00BE01A1">
      <w:pPr>
        <w:numPr>
          <w:ilvl w:val="0"/>
          <w:numId w:val="79"/>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CapEx</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Capital</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Expenditure</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Indicatie van aanvullende investeringen na renovatie:</w:t>
      </w:r>
    </w:p>
    <w:p w14:paraId="709F1BB6" w14:textId="77777777" w:rsidR="00B16B06" w:rsidRDefault="00C75414" w:rsidP="00BE01A1">
      <w:pPr>
        <w:numPr>
          <w:ilvl w:val="1"/>
          <w:numId w:val="8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Meubilering en inrichting: €5.000 - €10.000</w:t>
      </w:r>
    </w:p>
    <w:p w14:paraId="22F6FC85" w14:textId="77777777" w:rsidR="00B16B06" w:rsidRDefault="00C75414" w:rsidP="00BE01A1">
      <w:pPr>
        <w:numPr>
          <w:ilvl w:val="1"/>
          <w:numId w:val="8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Initiële marketing en fotografie: €500 - €1.000</w:t>
      </w:r>
    </w:p>
    <w:p w14:paraId="78424744" w14:textId="77777777" w:rsidR="00B16B06" w:rsidRDefault="00C75414" w:rsidP="00BE01A1">
      <w:pPr>
        <w:numPr>
          <w:ilvl w:val="1"/>
          <w:numId w:val="81"/>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Onvoorziene kosten: 5-10% van totale projectkosten</w:t>
      </w:r>
    </w:p>
    <w:p w14:paraId="21B4EA73" w14:textId="77777777" w:rsidR="00B16B06" w:rsidRDefault="00C75414">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Scenario-analyse:</w:t>
      </w:r>
    </w:p>
    <w:p w14:paraId="3493033D" w14:textId="77777777" w:rsidR="00B16B06" w:rsidRDefault="00C75414" w:rsidP="00BE01A1">
      <w:pPr>
        <w:numPr>
          <w:ilvl w:val="0"/>
          <w:numId w:val="8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Optimistisch Scenario (ROI 24%):</w:t>
      </w:r>
      <w:r>
        <w:rPr>
          <w:rFonts w:ascii="Google Sans Text" w:eastAsia="Google Sans Text" w:hAnsi="Google Sans Text" w:cs="Google Sans Text"/>
          <w:color w:val="1B1C1D"/>
          <w:sz w:val="24"/>
          <w:szCs w:val="24"/>
        </w:rPr>
        <w:t xml:space="preserve"> Hoge bezettingsgraad (67-72%), hogere ADR (€65-€70), efficiënt kostenbeheer, snelle waardevermeerdering van vastgoed door sterke toeristische groei en infrastructuurverbeteringen. Terugverdientijd: 4-5 jaar.</w:t>
      </w:r>
    </w:p>
    <w:p w14:paraId="06EFFD40" w14:textId="77777777" w:rsidR="00B16B06" w:rsidRDefault="00C75414" w:rsidP="00BE01A1">
      <w:pPr>
        <w:numPr>
          <w:ilvl w:val="0"/>
          <w:numId w:val="8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Realistisch Scenario (ROI 20%):</w:t>
      </w:r>
      <w:r>
        <w:rPr>
          <w:rFonts w:ascii="Google Sans Text" w:eastAsia="Google Sans Text" w:hAnsi="Google Sans Text" w:cs="Google Sans Text"/>
          <w:color w:val="1B1C1D"/>
          <w:sz w:val="24"/>
          <w:szCs w:val="24"/>
        </w:rPr>
        <w:t xml:space="preserve"> Gemiddelde bezettingsgraad (57-62%), </w:t>
      </w:r>
      <w:r>
        <w:rPr>
          <w:rFonts w:ascii="Google Sans Text" w:eastAsia="Google Sans Text" w:hAnsi="Google Sans Text" w:cs="Google Sans Text"/>
          <w:color w:val="1B1C1D"/>
          <w:sz w:val="24"/>
          <w:szCs w:val="24"/>
        </w:rPr>
        <w:lastRenderedPageBreak/>
        <w:t>gemiddelde ADR (€50-€55), verwachte operationele kosten, gestage waardevermeerdering. Terugverdientijd: 5-6 jaar.</w:t>
      </w:r>
    </w:p>
    <w:p w14:paraId="3FD33BAB" w14:textId="77777777" w:rsidR="00B16B06" w:rsidRDefault="00C75414" w:rsidP="00BE01A1">
      <w:pPr>
        <w:numPr>
          <w:ilvl w:val="0"/>
          <w:numId w:val="8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Pessimistisch Scenario (ROI 17%):</w:t>
      </w:r>
      <w:r>
        <w:rPr>
          <w:rFonts w:ascii="Google Sans Text" w:eastAsia="Google Sans Text" w:hAnsi="Google Sans Text" w:cs="Google Sans Text"/>
          <w:color w:val="1B1C1D"/>
          <w:sz w:val="24"/>
          <w:szCs w:val="24"/>
        </w:rPr>
        <w:t xml:space="preserve"> Lagere bezettingsgraad (47-52%), lagere ADR (€40-€45) door toegenomen concurrentie of economische tegenslag, hogere onvoorziene kosten. Terugverdientijd: 6-7 jaar.</w:t>
      </w:r>
    </w:p>
    <w:p w14:paraId="25A4EA89" w14:textId="77777777" w:rsidR="00B16B06" w:rsidRDefault="00C75414">
      <w:pPr>
        <w:pBdr>
          <w:top w:val="nil"/>
          <w:left w:val="nil"/>
          <w:bottom w:val="nil"/>
          <w:right w:val="nil"/>
          <w:between w:val="nil"/>
        </w:pBdr>
        <w:spacing w:before="240"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Cashflow Projecties (voorbeeld, 5-jaar projectie):</w:t>
      </w:r>
    </w:p>
    <w:tbl>
      <w:tblPr>
        <w:tblStyle w:val="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B16B06" w14:paraId="27F510C2"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C6545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Jaar</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9DC3B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Initiële Investering</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6A8CA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Renovatiekosten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A3244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Bruto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B3C5C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Operationele Kosten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B76B8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Huurinkomsten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A462F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Belastingen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75B0F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Netto Cashflow</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12CAA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Cumulatieve Netto Cashflow</w:t>
            </w:r>
          </w:p>
        </w:tc>
      </w:tr>
      <w:tr w:rsidR="00B16B06" w14:paraId="7EF5316C"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909CD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DDF76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697B8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B55BC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8E20A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86A3B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42B57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393D6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F451D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-€100.000</w:t>
            </w:r>
          </w:p>
        </w:tc>
      </w:tr>
      <w:tr w:rsidR="00B16B06" w14:paraId="258033FB"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75E79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430A6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F2531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69FB4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€24.000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DAE5D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AFF7F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C7B10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-€2.400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DFBA5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€9.600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FBFF5B"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-€90.400</w:t>
            </w:r>
          </w:p>
        </w:tc>
      </w:tr>
      <w:tr w:rsidR="00B16B06" w14:paraId="52EB162F"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56E9A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4E2108"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55EB5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31AA9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€26.500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69473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-€13.250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DE720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€13.250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C88CD2"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-€2.650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CF22E3"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€10.600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7A4D0F"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-€79.800</w:t>
            </w:r>
          </w:p>
        </w:tc>
      </w:tr>
      <w:tr w:rsidR="00B16B06" w14:paraId="39CAFD61"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BEEBD5"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6A0D4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8CB197"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85C24D"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€29.000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7BD2A6"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4CF981"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€14.500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0CA37A"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-€2.900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E86274"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€11.600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15BB9C"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-€68.200</w:t>
            </w:r>
          </w:p>
        </w:tc>
      </w:tr>
      <w:tr w:rsidR="00B16B06" w14:paraId="64DBA392"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674470"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B94599" w14:textId="77777777" w:rsidR="00B16B06" w:rsidRDefault="00C75414">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AFA7F1" w14:textId="77777777" w:rsidR="00B16B06" w:rsidRDefault="00B16B06">
            <w:pPr>
              <w:pBdr>
                <w:top w:val="nil"/>
                <w:left w:val="nil"/>
                <w:bottom w:val="nil"/>
                <w:right w:val="nil"/>
                <w:between w:val="nil"/>
              </w:pBdr>
              <w:spacing w:line="276" w:lineRule="auto"/>
              <w:rPr>
                <w:rFonts w:ascii="Google Sans Text" w:eastAsia="Google Sans Text" w:hAnsi="Google Sans Text" w:cs="Google Sans Text"/>
                <w:color w:val="1B1C1D"/>
                <w:sz w:val="20"/>
                <w:szCs w:val="20"/>
              </w:rPr>
            </w:pP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CAAC94" w14:textId="77777777" w:rsidR="00B16B06" w:rsidRDefault="00B16B06">
            <w:pPr>
              <w:pBdr>
                <w:top w:val="nil"/>
                <w:left w:val="nil"/>
                <w:bottom w:val="nil"/>
                <w:right w:val="nil"/>
                <w:between w:val="nil"/>
              </w:pBdr>
              <w:spacing w:line="276" w:lineRule="auto"/>
              <w:rPr>
                <w:rFonts w:ascii="Google Sans Text" w:eastAsia="Google Sans Text" w:hAnsi="Google Sans Text" w:cs="Google Sans Text"/>
                <w:color w:val="1B1C1D"/>
                <w:sz w:val="20"/>
                <w:szCs w:val="20"/>
              </w:rPr>
            </w:pP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4B967C" w14:textId="77777777" w:rsidR="00B16B06" w:rsidRDefault="00B16B06">
            <w:pPr>
              <w:pBdr>
                <w:top w:val="nil"/>
                <w:left w:val="nil"/>
                <w:bottom w:val="nil"/>
                <w:right w:val="nil"/>
                <w:between w:val="nil"/>
              </w:pBdr>
              <w:spacing w:line="276" w:lineRule="auto"/>
              <w:rPr>
                <w:rFonts w:ascii="Google Sans Text" w:eastAsia="Google Sans Text" w:hAnsi="Google Sans Text" w:cs="Google Sans Text"/>
                <w:color w:val="1B1C1D"/>
                <w:sz w:val="20"/>
                <w:szCs w:val="20"/>
              </w:rPr>
            </w:pP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D90278" w14:textId="77777777" w:rsidR="00B16B06" w:rsidRDefault="00B16B06">
            <w:pPr>
              <w:pBdr>
                <w:top w:val="nil"/>
                <w:left w:val="nil"/>
                <w:bottom w:val="nil"/>
                <w:right w:val="nil"/>
                <w:between w:val="nil"/>
              </w:pBdr>
              <w:spacing w:line="276" w:lineRule="auto"/>
              <w:rPr>
                <w:rFonts w:ascii="Google Sans Text" w:eastAsia="Google Sans Text" w:hAnsi="Google Sans Text" w:cs="Google Sans Text"/>
                <w:color w:val="1B1C1D"/>
                <w:sz w:val="20"/>
                <w:szCs w:val="20"/>
              </w:rPr>
            </w:pP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406CF8" w14:textId="77777777" w:rsidR="00B16B06" w:rsidRDefault="00B16B06">
            <w:pPr>
              <w:pBdr>
                <w:top w:val="nil"/>
                <w:left w:val="nil"/>
                <w:bottom w:val="nil"/>
                <w:right w:val="nil"/>
                <w:between w:val="nil"/>
              </w:pBdr>
              <w:spacing w:line="276" w:lineRule="auto"/>
              <w:rPr>
                <w:rFonts w:ascii="Google Sans Text" w:eastAsia="Google Sans Text" w:hAnsi="Google Sans Text" w:cs="Google Sans Text"/>
                <w:color w:val="1B1C1D"/>
                <w:sz w:val="20"/>
                <w:szCs w:val="20"/>
              </w:rPr>
            </w:pP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A1227C" w14:textId="77777777" w:rsidR="00B16B06" w:rsidRDefault="00B16B06">
            <w:pPr>
              <w:pBdr>
                <w:top w:val="nil"/>
                <w:left w:val="nil"/>
                <w:bottom w:val="nil"/>
                <w:right w:val="nil"/>
                <w:between w:val="nil"/>
              </w:pBdr>
              <w:spacing w:line="276" w:lineRule="auto"/>
              <w:rPr>
                <w:rFonts w:ascii="Google Sans Text" w:eastAsia="Google Sans Text" w:hAnsi="Google Sans Text" w:cs="Google Sans Text"/>
                <w:color w:val="1B1C1D"/>
                <w:sz w:val="20"/>
                <w:szCs w:val="20"/>
              </w:rPr>
            </w:pP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B4D852" w14:textId="77777777" w:rsidR="00B16B06" w:rsidRDefault="00B16B06">
            <w:pPr>
              <w:pBdr>
                <w:top w:val="nil"/>
                <w:left w:val="nil"/>
                <w:bottom w:val="nil"/>
                <w:right w:val="nil"/>
                <w:between w:val="nil"/>
              </w:pBdr>
              <w:spacing w:line="276" w:lineRule="auto"/>
              <w:rPr>
                <w:rFonts w:ascii="Google Sans Text" w:eastAsia="Google Sans Text" w:hAnsi="Google Sans Text" w:cs="Google Sans Text"/>
                <w:color w:val="1B1C1D"/>
                <w:sz w:val="20"/>
                <w:szCs w:val="20"/>
              </w:rPr>
            </w:pPr>
          </w:p>
        </w:tc>
      </w:tr>
    </w:tbl>
    <w:p w14:paraId="591EF386" w14:textId="12499941" w:rsidR="00361754" w:rsidRDefault="00361754">
      <w:pPr>
        <w:pBdr>
          <w:top w:val="nil"/>
          <w:left w:val="nil"/>
          <w:bottom w:val="nil"/>
          <w:right w:val="nil"/>
          <w:between w:val="nil"/>
        </w:pBdr>
        <w:spacing w:line="276" w:lineRule="auto"/>
        <w:rPr>
          <w:rFonts w:ascii="Google Sans Text" w:eastAsia="Google Sans Text" w:hAnsi="Google Sans Text" w:cs="Google Sans Text"/>
          <w:color w:val="1B1C1D"/>
          <w:sz w:val="20"/>
          <w:szCs w:val="20"/>
        </w:rPr>
      </w:pPr>
    </w:p>
    <w:p w14:paraId="44BFEF3C" w14:textId="6A59A244" w:rsidR="00B16B06" w:rsidRDefault="00B16B06" w:rsidP="00B12B0F">
      <w:pPr>
        <w:rPr>
          <w:rFonts w:ascii="Google Sans Text" w:eastAsia="Google Sans Text" w:hAnsi="Google Sans Text" w:cs="Google Sans Text"/>
          <w:color w:val="1B1C1D"/>
          <w:sz w:val="20"/>
          <w:szCs w:val="20"/>
        </w:rPr>
      </w:pPr>
    </w:p>
    <w:sectPr w:rsidR="00B16B06">
      <w:footerReference w:type="default" r:id="rId12"/>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25E35" w14:textId="77777777" w:rsidR="00CB596F" w:rsidRDefault="00CB596F" w:rsidP="00B12B0F">
      <w:r>
        <w:separator/>
      </w:r>
    </w:p>
  </w:endnote>
  <w:endnote w:type="continuationSeparator" w:id="0">
    <w:p w14:paraId="488875BA" w14:textId="77777777" w:rsidR="00CB596F" w:rsidRDefault="00CB596F" w:rsidP="00B1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B3CD501-D44E-45FF-A09E-FD4BA50D6954}"/>
    <w:embedItalic r:id="rId2" w:fontKey="{10676093-6832-41F3-B22F-8EC644DE4DA5}"/>
  </w:font>
  <w:font w:name="Calibri">
    <w:panose1 w:val="020F0502020204030204"/>
    <w:charset w:val="00"/>
    <w:family w:val="swiss"/>
    <w:pitch w:val="variable"/>
    <w:sig w:usb0="E4002EFF" w:usb1="C200247B" w:usb2="00000009" w:usb3="00000000" w:csb0="000001FF" w:csb1="00000000"/>
    <w:embedRegular r:id="rId3" w:fontKey="{7962334A-7E08-477C-8027-3EEFC4E46C47}"/>
  </w:font>
  <w:font w:name="Cambria">
    <w:panose1 w:val="02040503050406030204"/>
    <w:charset w:val="00"/>
    <w:family w:val="roman"/>
    <w:pitch w:val="variable"/>
    <w:sig w:usb0="E00006FF" w:usb1="420024FF" w:usb2="02000000" w:usb3="00000000" w:csb0="0000019F" w:csb1="00000000"/>
    <w:embedRegular r:id="rId4" w:fontKey="{C0497E7D-6466-4752-84B4-AAC7711A4A11}"/>
  </w:font>
  <w:font w:name="Google Sans">
    <w:charset w:val="00"/>
    <w:family w:val="auto"/>
    <w:pitch w:val="default"/>
    <w:embedRegular r:id="rId5" w:fontKey="{7CD3604C-E398-49B3-BEC0-A0C082B13313}"/>
    <w:embedBold r:id="rId6" w:fontKey="{B96622B9-5D00-43FF-8508-FF06C184E35A}"/>
  </w:font>
  <w:font w:name="Google Sans Text">
    <w:charset w:val="00"/>
    <w:family w:val="auto"/>
    <w:pitch w:val="default"/>
    <w:embedRegular r:id="rId7" w:fontKey="{37F6A67C-D89E-435B-A2F0-A1CB67F33698}"/>
    <w:embedBold r:id="rId8" w:fontKey="{5E1649D8-3D4D-4726-9D97-2034E7670A4A}"/>
    <w:embedItalic r:id="rId9" w:fontKey="{ABE463AE-0540-4187-B04B-BC59F37426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924630"/>
      <w:docPartObj>
        <w:docPartGallery w:val="Page Numbers (Bottom of Page)"/>
        <w:docPartUnique/>
      </w:docPartObj>
    </w:sdtPr>
    <w:sdtEndPr/>
    <w:sdtContent>
      <w:p w14:paraId="3A6CD267" w14:textId="341595DE" w:rsidR="00B12B0F" w:rsidRDefault="00B12B0F">
        <w:pPr>
          <w:pStyle w:val="Voettekst"/>
          <w:jc w:val="center"/>
        </w:pPr>
        <w:r>
          <w:fldChar w:fldCharType="begin"/>
        </w:r>
        <w:r>
          <w:instrText>PAGE   \* MERGEFORMAT</w:instrText>
        </w:r>
        <w:r>
          <w:fldChar w:fldCharType="separate"/>
        </w:r>
        <w:r>
          <w:t>2</w:t>
        </w:r>
        <w:r>
          <w:fldChar w:fldCharType="end"/>
        </w:r>
      </w:p>
    </w:sdtContent>
  </w:sdt>
  <w:p w14:paraId="3BD06CF2" w14:textId="77777777" w:rsidR="00B12B0F" w:rsidRDefault="00B12B0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8AD49" w14:textId="77777777" w:rsidR="00CB596F" w:rsidRDefault="00CB596F" w:rsidP="00B12B0F">
      <w:r>
        <w:separator/>
      </w:r>
    </w:p>
  </w:footnote>
  <w:footnote w:type="continuationSeparator" w:id="0">
    <w:p w14:paraId="3B0A9B26" w14:textId="77777777" w:rsidR="00CB596F" w:rsidRDefault="00CB596F" w:rsidP="00B12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1AA"/>
    <w:multiLevelType w:val="multilevel"/>
    <w:tmpl w:val="0FFEC6E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62F5DED"/>
    <w:multiLevelType w:val="multilevel"/>
    <w:tmpl w:val="1CEC02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7591B1C"/>
    <w:multiLevelType w:val="multilevel"/>
    <w:tmpl w:val="80DE55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DE661EC"/>
    <w:multiLevelType w:val="multilevel"/>
    <w:tmpl w:val="CE646A8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DFE0444"/>
    <w:multiLevelType w:val="multilevel"/>
    <w:tmpl w:val="946C709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0E33670E"/>
    <w:multiLevelType w:val="multilevel"/>
    <w:tmpl w:val="C57256C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0FC1029E"/>
    <w:multiLevelType w:val="multilevel"/>
    <w:tmpl w:val="488C789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0FC6518C"/>
    <w:multiLevelType w:val="multilevel"/>
    <w:tmpl w:val="46FA6E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043143C"/>
    <w:multiLevelType w:val="multilevel"/>
    <w:tmpl w:val="FC249CD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1675177"/>
    <w:multiLevelType w:val="multilevel"/>
    <w:tmpl w:val="0C0A441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12E04CA3"/>
    <w:multiLevelType w:val="multilevel"/>
    <w:tmpl w:val="83F2689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145418C9"/>
    <w:multiLevelType w:val="multilevel"/>
    <w:tmpl w:val="1D78D76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152270D6"/>
    <w:multiLevelType w:val="multilevel"/>
    <w:tmpl w:val="3E3AAF1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17140CA6"/>
    <w:multiLevelType w:val="multilevel"/>
    <w:tmpl w:val="FD22CF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1A6841E3"/>
    <w:multiLevelType w:val="multilevel"/>
    <w:tmpl w:val="C930EA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1D324167"/>
    <w:multiLevelType w:val="multilevel"/>
    <w:tmpl w:val="7E3C4C8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1D5A4A46"/>
    <w:multiLevelType w:val="multilevel"/>
    <w:tmpl w:val="4EAED2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1D7B2D01"/>
    <w:multiLevelType w:val="multilevel"/>
    <w:tmpl w:val="652248E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1FD90789"/>
    <w:multiLevelType w:val="multilevel"/>
    <w:tmpl w:val="61EABA6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25A146FD"/>
    <w:multiLevelType w:val="multilevel"/>
    <w:tmpl w:val="4FC6BC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2806222E"/>
    <w:multiLevelType w:val="multilevel"/>
    <w:tmpl w:val="147E955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288370CC"/>
    <w:multiLevelType w:val="multilevel"/>
    <w:tmpl w:val="379CCCB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29723089"/>
    <w:multiLevelType w:val="multilevel"/>
    <w:tmpl w:val="5A3068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2D694E98"/>
    <w:multiLevelType w:val="multilevel"/>
    <w:tmpl w:val="ACDE48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2F0C0B1A"/>
    <w:multiLevelType w:val="multilevel"/>
    <w:tmpl w:val="48BE1C3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2F4D4D92"/>
    <w:multiLevelType w:val="multilevel"/>
    <w:tmpl w:val="1DE075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2F7E202F"/>
    <w:multiLevelType w:val="multilevel"/>
    <w:tmpl w:val="B888ED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307A0253"/>
    <w:multiLevelType w:val="multilevel"/>
    <w:tmpl w:val="B57AC05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313D2665"/>
    <w:multiLevelType w:val="multilevel"/>
    <w:tmpl w:val="649C13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32383A4D"/>
    <w:multiLevelType w:val="multilevel"/>
    <w:tmpl w:val="C6FAE7F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324A0C90"/>
    <w:multiLevelType w:val="multilevel"/>
    <w:tmpl w:val="58343A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33057F26"/>
    <w:multiLevelType w:val="multilevel"/>
    <w:tmpl w:val="6DB070D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34667AA3"/>
    <w:multiLevelType w:val="multilevel"/>
    <w:tmpl w:val="3468FD6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3" w15:restartNumberingAfterBreak="0">
    <w:nsid w:val="347D57DF"/>
    <w:multiLevelType w:val="multilevel"/>
    <w:tmpl w:val="9CB8EC5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34D51EAB"/>
    <w:multiLevelType w:val="multilevel"/>
    <w:tmpl w:val="5A3C398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35EC634C"/>
    <w:multiLevelType w:val="multilevel"/>
    <w:tmpl w:val="50367F8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6" w15:restartNumberingAfterBreak="0">
    <w:nsid w:val="367D169E"/>
    <w:multiLevelType w:val="multilevel"/>
    <w:tmpl w:val="AEB2524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7" w15:restartNumberingAfterBreak="0">
    <w:nsid w:val="377F4114"/>
    <w:multiLevelType w:val="multilevel"/>
    <w:tmpl w:val="97646B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8" w15:restartNumberingAfterBreak="0">
    <w:nsid w:val="3A5048EE"/>
    <w:multiLevelType w:val="multilevel"/>
    <w:tmpl w:val="4864BC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9" w15:restartNumberingAfterBreak="0">
    <w:nsid w:val="3B7F25B9"/>
    <w:multiLevelType w:val="multilevel"/>
    <w:tmpl w:val="D0CEF7B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0" w15:restartNumberingAfterBreak="0">
    <w:nsid w:val="3D8D1CDB"/>
    <w:multiLevelType w:val="multilevel"/>
    <w:tmpl w:val="7582935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1" w15:restartNumberingAfterBreak="0">
    <w:nsid w:val="3E396235"/>
    <w:multiLevelType w:val="multilevel"/>
    <w:tmpl w:val="CBAC106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2" w15:restartNumberingAfterBreak="0">
    <w:nsid w:val="3E992A18"/>
    <w:multiLevelType w:val="multilevel"/>
    <w:tmpl w:val="2A14CA8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3" w15:restartNumberingAfterBreak="0">
    <w:nsid w:val="3EF87B6F"/>
    <w:multiLevelType w:val="multilevel"/>
    <w:tmpl w:val="501C98C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4" w15:restartNumberingAfterBreak="0">
    <w:nsid w:val="3FB54910"/>
    <w:multiLevelType w:val="multilevel"/>
    <w:tmpl w:val="751E91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5" w15:restartNumberingAfterBreak="0">
    <w:nsid w:val="402164FC"/>
    <w:multiLevelType w:val="multilevel"/>
    <w:tmpl w:val="CFB60E6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6" w15:restartNumberingAfterBreak="0">
    <w:nsid w:val="41C56A11"/>
    <w:multiLevelType w:val="multilevel"/>
    <w:tmpl w:val="D5B641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7" w15:restartNumberingAfterBreak="0">
    <w:nsid w:val="41D973DE"/>
    <w:multiLevelType w:val="multilevel"/>
    <w:tmpl w:val="DD7A28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8" w15:restartNumberingAfterBreak="0">
    <w:nsid w:val="42044812"/>
    <w:multiLevelType w:val="multilevel"/>
    <w:tmpl w:val="184C641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9" w15:restartNumberingAfterBreak="0">
    <w:nsid w:val="43B65B43"/>
    <w:multiLevelType w:val="multilevel"/>
    <w:tmpl w:val="CE2ADC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0" w15:restartNumberingAfterBreak="0">
    <w:nsid w:val="4424595B"/>
    <w:multiLevelType w:val="multilevel"/>
    <w:tmpl w:val="9F3E75D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1" w15:restartNumberingAfterBreak="0">
    <w:nsid w:val="47DE41F9"/>
    <w:multiLevelType w:val="multilevel"/>
    <w:tmpl w:val="77A8D3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2" w15:restartNumberingAfterBreak="0">
    <w:nsid w:val="49FE6180"/>
    <w:multiLevelType w:val="multilevel"/>
    <w:tmpl w:val="7D7EA97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3" w15:restartNumberingAfterBreak="0">
    <w:nsid w:val="4B2E6EEB"/>
    <w:multiLevelType w:val="multilevel"/>
    <w:tmpl w:val="E38E628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4" w15:restartNumberingAfterBreak="0">
    <w:nsid w:val="4CE71095"/>
    <w:multiLevelType w:val="multilevel"/>
    <w:tmpl w:val="CB7CE73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5" w15:restartNumberingAfterBreak="0">
    <w:nsid w:val="4DC704A8"/>
    <w:multiLevelType w:val="multilevel"/>
    <w:tmpl w:val="A1002D8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6" w15:restartNumberingAfterBreak="0">
    <w:nsid w:val="4E420C9E"/>
    <w:multiLevelType w:val="multilevel"/>
    <w:tmpl w:val="9B6050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7" w15:restartNumberingAfterBreak="0">
    <w:nsid w:val="4FE12984"/>
    <w:multiLevelType w:val="multilevel"/>
    <w:tmpl w:val="F16426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8" w15:restartNumberingAfterBreak="0">
    <w:nsid w:val="4FFA61A5"/>
    <w:multiLevelType w:val="multilevel"/>
    <w:tmpl w:val="88E4F21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9" w15:restartNumberingAfterBreak="0">
    <w:nsid w:val="52CA6295"/>
    <w:multiLevelType w:val="multilevel"/>
    <w:tmpl w:val="75E40B8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0" w15:restartNumberingAfterBreak="0">
    <w:nsid w:val="533440DE"/>
    <w:multiLevelType w:val="multilevel"/>
    <w:tmpl w:val="852C59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1" w15:restartNumberingAfterBreak="0">
    <w:nsid w:val="54644264"/>
    <w:multiLevelType w:val="multilevel"/>
    <w:tmpl w:val="580429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2" w15:restartNumberingAfterBreak="0">
    <w:nsid w:val="54E51B17"/>
    <w:multiLevelType w:val="multilevel"/>
    <w:tmpl w:val="0B646FC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3" w15:restartNumberingAfterBreak="0">
    <w:nsid w:val="5AF068B6"/>
    <w:multiLevelType w:val="multilevel"/>
    <w:tmpl w:val="AC745E7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4" w15:restartNumberingAfterBreak="0">
    <w:nsid w:val="5C83524A"/>
    <w:multiLevelType w:val="multilevel"/>
    <w:tmpl w:val="47EA55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5" w15:restartNumberingAfterBreak="0">
    <w:nsid w:val="5C9B67B6"/>
    <w:multiLevelType w:val="multilevel"/>
    <w:tmpl w:val="E7AC77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6" w15:restartNumberingAfterBreak="0">
    <w:nsid w:val="5E343454"/>
    <w:multiLevelType w:val="multilevel"/>
    <w:tmpl w:val="57223A9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7" w15:restartNumberingAfterBreak="0">
    <w:nsid w:val="5E6E5DE5"/>
    <w:multiLevelType w:val="multilevel"/>
    <w:tmpl w:val="DA4EA2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8" w15:restartNumberingAfterBreak="0">
    <w:nsid w:val="5E9E11F5"/>
    <w:multiLevelType w:val="multilevel"/>
    <w:tmpl w:val="16924FD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9" w15:restartNumberingAfterBreak="0">
    <w:nsid w:val="5F673C18"/>
    <w:multiLevelType w:val="multilevel"/>
    <w:tmpl w:val="46EC3D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0" w15:restartNumberingAfterBreak="0">
    <w:nsid w:val="60846A53"/>
    <w:multiLevelType w:val="multilevel"/>
    <w:tmpl w:val="966633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1" w15:restartNumberingAfterBreak="0">
    <w:nsid w:val="63337472"/>
    <w:multiLevelType w:val="multilevel"/>
    <w:tmpl w:val="021C55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2" w15:restartNumberingAfterBreak="0">
    <w:nsid w:val="635E5D61"/>
    <w:multiLevelType w:val="multilevel"/>
    <w:tmpl w:val="391C33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3" w15:restartNumberingAfterBreak="0">
    <w:nsid w:val="64804297"/>
    <w:multiLevelType w:val="multilevel"/>
    <w:tmpl w:val="9FCCD29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4" w15:restartNumberingAfterBreak="0">
    <w:nsid w:val="66603907"/>
    <w:multiLevelType w:val="multilevel"/>
    <w:tmpl w:val="EFF4E9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5" w15:restartNumberingAfterBreak="0">
    <w:nsid w:val="68251BAF"/>
    <w:multiLevelType w:val="multilevel"/>
    <w:tmpl w:val="7F02FB3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6" w15:restartNumberingAfterBreak="0">
    <w:nsid w:val="68490C30"/>
    <w:multiLevelType w:val="multilevel"/>
    <w:tmpl w:val="833C06D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7" w15:restartNumberingAfterBreak="0">
    <w:nsid w:val="6A3E21D9"/>
    <w:multiLevelType w:val="multilevel"/>
    <w:tmpl w:val="7D64ED6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8" w15:restartNumberingAfterBreak="0">
    <w:nsid w:val="6D3267F8"/>
    <w:multiLevelType w:val="multilevel"/>
    <w:tmpl w:val="D016845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9" w15:restartNumberingAfterBreak="0">
    <w:nsid w:val="711A5524"/>
    <w:multiLevelType w:val="multilevel"/>
    <w:tmpl w:val="10E460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0" w15:restartNumberingAfterBreak="0">
    <w:nsid w:val="72A73575"/>
    <w:multiLevelType w:val="multilevel"/>
    <w:tmpl w:val="F8F44A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1" w15:restartNumberingAfterBreak="0">
    <w:nsid w:val="74B46909"/>
    <w:multiLevelType w:val="multilevel"/>
    <w:tmpl w:val="7FFC55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2" w15:restartNumberingAfterBreak="0">
    <w:nsid w:val="7590730C"/>
    <w:multiLevelType w:val="multilevel"/>
    <w:tmpl w:val="A7422C6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3" w15:restartNumberingAfterBreak="0">
    <w:nsid w:val="76BB3A07"/>
    <w:multiLevelType w:val="multilevel"/>
    <w:tmpl w:val="9FDA1C4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4" w15:restartNumberingAfterBreak="0">
    <w:nsid w:val="772A5FA2"/>
    <w:multiLevelType w:val="multilevel"/>
    <w:tmpl w:val="4ED003B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5" w15:restartNumberingAfterBreak="0">
    <w:nsid w:val="78121D28"/>
    <w:multiLevelType w:val="multilevel"/>
    <w:tmpl w:val="7D0CB17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6" w15:restartNumberingAfterBreak="0">
    <w:nsid w:val="7A252F12"/>
    <w:multiLevelType w:val="multilevel"/>
    <w:tmpl w:val="F564C9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7" w15:restartNumberingAfterBreak="0">
    <w:nsid w:val="7A4F0C38"/>
    <w:multiLevelType w:val="multilevel"/>
    <w:tmpl w:val="008401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8" w15:restartNumberingAfterBreak="0">
    <w:nsid w:val="7A8756E8"/>
    <w:multiLevelType w:val="multilevel"/>
    <w:tmpl w:val="A7CCD94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9" w15:restartNumberingAfterBreak="0">
    <w:nsid w:val="7AD1052F"/>
    <w:multiLevelType w:val="multilevel"/>
    <w:tmpl w:val="0548DD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0" w15:restartNumberingAfterBreak="0">
    <w:nsid w:val="7E085B8D"/>
    <w:multiLevelType w:val="multilevel"/>
    <w:tmpl w:val="F9668B7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1" w15:restartNumberingAfterBreak="0">
    <w:nsid w:val="7EEB5B15"/>
    <w:multiLevelType w:val="multilevel"/>
    <w:tmpl w:val="20D6152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147431343">
    <w:abstractNumId w:val="35"/>
  </w:num>
  <w:num w:numId="2" w16cid:durableId="223570297">
    <w:abstractNumId w:val="1"/>
  </w:num>
  <w:num w:numId="3" w16cid:durableId="973294551">
    <w:abstractNumId w:val="52"/>
  </w:num>
  <w:num w:numId="4" w16cid:durableId="739791739">
    <w:abstractNumId w:val="4"/>
  </w:num>
  <w:num w:numId="5" w16cid:durableId="874538127">
    <w:abstractNumId w:val="88"/>
  </w:num>
  <w:num w:numId="6" w16cid:durableId="22288635">
    <w:abstractNumId w:val="74"/>
  </w:num>
  <w:num w:numId="7" w16cid:durableId="1501962897">
    <w:abstractNumId w:val="78"/>
  </w:num>
  <w:num w:numId="8" w16cid:durableId="2051680539">
    <w:abstractNumId w:val="84"/>
  </w:num>
  <w:num w:numId="9" w16cid:durableId="1301225694">
    <w:abstractNumId w:val="19"/>
  </w:num>
  <w:num w:numId="10" w16cid:durableId="1582761576">
    <w:abstractNumId w:val="47"/>
  </w:num>
  <w:num w:numId="11" w16cid:durableId="420370503">
    <w:abstractNumId w:val="16"/>
  </w:num>
  <w:num w:numId="12" w16cid:durableId="1275747216">
    <w:abstractNumId w:val="61"/>
  </w:num>
  <w:num w:numId="13" w16cid:durableId="23405644">
    <w:abstractNumId w:val="25"/>
  </w:num>
  <w:num w:numId="14" w16cid:durableId="1890679028">
    <w:abstractNumId w:val="15"/>
  </w:num>
  <w:num w:numId="15" w16cid:durableId="1280188675">
    <w:abstractNumId w:val="37"/>
  </w:num>
  <w:num w:numId="16" w16cid:durableId="1059011925">
    <w:abstractNumId w:val="9"/>
  </w:num>
  <w:num w:numId="17" w16cid:durableId="1167556566">
    <w:abstractNumId w:val="31"/>
  </w:num>
  <w:num w:numId="18" w16cid:durableId="1504590813">
    <w:abstractNumId w:val="14"/>
  </w:num>
  <w:num w:numId="19" w16cid:durableId="940338890">
    <w:abstractNumId w:val="26"/>
  </w:num>
  <w:num w:numId="20" w16cid:durableId="392849962">
    <w:abstractNumId w:val="17"/>
  </w:num>
  <w:num w:numId="21" w16cid:durableId="915166511">
    <w:abstractNumId w:val="77"/>
  </w:num>
  <w:num w:numId="22" w16cid:durableId="1441219114">
    <w:abstractNumId w:val="72"/>
  </w:num>
  <w:num w:numId="23" w16cid:durableId="1036930510">
    <w:abstractNumId w:val="75"/>
  </w:num>
  <w:num w:numId="24" w16cid:durableId="1728142785">
    <w:abstractNumId w:val="79"/>
  </w:num>
  <w:num w:numId="25" w16cid:durableId="1321737814">
    <w:abstractNumId w:val="64"/>
  </w:num>
  <w:num w:numId="26" w16cid:durableId="440031129">
    <w:abstractNumId w:val="51"/>
  </w:num>
  <w:num w:numId="27" w16cid:durableId="2018266364">
    <w:abstractNumId w:val="80"/>
  </w:num>
  <w:num w:numId="28" w16cid:durableId="560289308">
    <w:abstractNumId w:val="65"/>
  </w:num>
  <w:num w:numId="29" w16cid:durableId="1691879890">
    <w:abstractNumId w:val="44"/>
  </w:num>
  <w:num w:numId="30" w16cid:durableId="759833926">
    <w:abstractNumId w:val="58"/>
  </w:num>
  <w:num w:numId="31" w16cid:durableId="1365787500">
    <w:abstractNumId w:val="36"/>
  </w:num>
  <w:num w:numId="32" w16cid:durableId="269431666">
    <w:abstractNumId w:val="18"/>
  </w:num>
  <w:num w:numId="33" w16cid:durableId="2073648907">
    <w:abstractNumId w:val="62"/>
  </w:num>
  <w:num w:numId="34" w16cid:durableId="1593313640">
    <w:abstractNumId w:val="54"/>
  </w:num>
  <w:num w:numId="35" w16cid:durableId="1409183320">
    <w:abstractNumId w:val="46"/>
  </w:num>
  <w:num w:numId="36" w16cid:durableId="1431967385">
    <w:abstractNumId w:val="89"/>
  </w:num>
  <w:num w:numId="37" w16cid:durableId="365761656">
    <w:abstractNumId w:val="33"/>
  </w:num>
  <w:num w:numId="38" w16cid:durableId="1308440467">
    <w:abstractNumId w:val="81"/>
  </w:num>
  <w:num w:numId="39" w16cid:durableId="445390314">
    <w:abstractNumId w:val="2"/>
  </w:num>
  <w:num w:numId="40" w16cid:durableId="1729649991">
    <w:abstractNumId w:val="24"/>
  </w:num>
  <w:num w:numId="41" w16cid:durableId="736392125">
    <w:abstractNumId w:val="40"/>
  </w:num>
  <w:num w:numId="42" w16cid:durableId="508913126">
    <w:abstractNumId w:val="55"/>
  </w:num>
  <w:num w:numId="43" w16cid:durableId="1820921589">
    <w:abstractNumId w:val="30"/>
  </w:num>
  <w:num w:numId="44" w16cid:durableId="581179962">
    <w:abstractNumId w:val="32"/>
  </w:num>
  <w:num w:numId="45" w16cid:durableId="1682973987">
    <w:abstractNumId w:val="49"/>
  </w:num>
  <w:num w:numId="46" w16cid:durableId="1708288900">
    <w:abstractNumId w:val="87"/>
  </w:num>
  <w:num w:numId="47" w16cid:durableId="588929302">
    <w:abstractNumId w:val="45"/>
  </w:num>
  <w:num w:numId="48" w16cid:durableId="576788426">
    <w:abstractNumId w:val="90"/>
  </w:num>
  <w:num w:numId="49" w16cid:durableId="1333337525">
    <w:abstractNumId w:val="73"/>
  </w:num>
  <w:num w:numId="50" w16cid:durableId="222300779">
    <w:abstractNumId w:val="21"/>
  </w:num>
  <w:num w:numId="51" w16cid:durableId="1573614663">
    <w:abstractNumId w:val="91"/>
  </w:num>
  <w:num w:numId="52" w16cid:durableId="1788741832">
    <w:abstractNumId w:val="42"/>
  </w:num>
  <w:num w:numId="53" w16cid:durableId="85276381">
    <w:abstractNumId w:val="8"/>
  </w:num>
  <w:num w:numId="54" w16cid:durableId="1714766988">
    <w:abstractNumId w:val="57"/>
  </w:num>
  <w:num w:numId="55" w16cid:durableId="311983572">
    <w:abstractNumId w:val="7"/>
  </w:num>
  <w:num w:numId="56" w16cid:durableId="1741098165">
    <w:abstractNumId w:val="34"/>
  </w:num>
  <w:num w:numId="57" w16cid:durableId="1204098737">
    <w:abstractNumId w:val="48"/>
  </w:num>
  <w:num w:numId="58" w16cid:durableId="2138602431">
    <w:abstractNumId w:val="11"/>
  </w:num>
  <w:num w:numId="59" w16cid:durableId="476722716">
    <w:abstractNumId w:val="53"/>
  </w:num>
  <w:num w:numId="60" w16cid:durableId="1276521323">
    <w:abstractNumId w:val="20"/>
  </w:num>
  <w:num w:numId="61" w16cid:durableId="1875076633">
    <w:abstractNumId w:val="27"/>
  </w:num>
  <w:num w:numId="62" w16cid:durableId="1403916781">
    <w:abstractNumId w:val="76"/>
  </w:num>
  <w:num w:numId="63" w16cid:durableId="1323050624">
    <w:abstractNumId w:val="68"/>
  </w:num>
  <w:num w:numId="64" w16cid:durableId="844705906">
    <w:abstractNumId w:val="56"/>
  </w:num>
  <w:num w:numId="65" w16cid:durableId="943535928">
    <w:abstractNumId w:val="23"/>
  </w:num>
  <w:num w:numId="66" w16cid:durableId="1727144254">
    <w:abstractNumId w:val="12"/>
  </w:num>
  <w:num w:numId="67" w16cid:durableId="2101639846">
    <w:abstractNumId w:val="71"/>
  </w:num>
  <w:num w:numId="68" w16cid:durableId="1966698547">
    <w:abstractNumId w:val="41"/>
  </w:num>
  <w:num w:numId="69" w16cid:durableId="1036350556">
    <w:abstractNumId w:val="43"/>
  </w:num>
  <w:num w:numId="70" w16cid:durableId="1713726615">
    <w:abstractNumId w:val="13"/>
  </w:num>
  <w:num w:numId="71" w16cid:durableId="17900960">
    <w:abstractNumId w:val="67"/>
  </w:num>
  <w:num w:numId="72" w16cid:durableId="188879571">
    <w:abstractNumId w:val="0"/>
  </w:num>
  <w:num w:numId="73" w16cid:durableId="843671792">
    <w:abstractNumId w:val="86"/>
  </w:num>
  <w:num w:numId="74" w16cid:durableId="431054371">
    <w:abstractNumId w:val="82"/>
  </w:num>
  <w:num w:numId="75" w16cid:durableId="2032875646">
    <w:abstractNumId w:val="60"/>
  </w:num>
  <w:num w:numId="76" w16cid:durableId="1502356591">
    <w:abstractNumId w:val="29"/>
  </w:num>
  <w:num w:numId="77" w16cid:durableId="386034491">
    <w:abstractNumId w:val="38"/>
  </w:num>
  <w:num w:numId="78" w16cid:durableId="95251547">
    <w:abstractNumId w:val="70"/>
  </w:num>
  <w:num w:numId="79" w16cid:durableId="2137405584">
    <w:abstractNumId w:val="63"/>
  </w:num>
  <w:num w:numId="80" w16cid:durableId="1899171234">
    <w:abstractNumId w:val="28"/>
  </w:num>
  <w:num w:numId="81" w16cid:durableId="1614439590">
    <w:abstractNumId w:val="69"/>
  </w:num>
  <w:num w:numId="82" w16cid:durableId="1684087044">
    <w:abstractNumId w:val="50"/>
  </w:num>
  <w:num w:numId="83" w16cid:durableId="2034846346">
    <w:abstractNumId w:val="22"/>
  </w:num>
  <w:num w:numId="84" w16cid:durableId="1981839917">
    <w:abstractNumId w:val="83"/>
  </w:num>
  <w:num w:numId="85" w16cid:durableId="2002151462">
    <w:abstractNumId w:val="59"/>
  </w:num>
  <w:num w:numId="86" w16cid:durableId="355273906">
    <w:abstractNumId w:val="10"/>
  </w:num>
  <w:num w:numId="87" w16cid:durableId="2053769909">
    <w:abstractNumId w:val="5"/>
  </w:num>
  <w:num w:numId="88" w16cid:durableId="205871528">
    <w:abstractNumId w:val="6"/>
  </w:num>
  <w:num w:numId="89" w16cid:durableId="1220553075">
    <w:abstractNumId w:val="39"/>
  </w:num>
  <w:num w:numId="90" w16cid:durableId="1908833440">
    <w:abstractNumId w:val="66"/>
  </w:num>
  <w:num w:numId="91" w16cid:durableId="1078818955">
    <w:abstractNumId w:val="3"/>
  </w:num>
  <w:num w:numId="92" w16cid:durableId="1982080446">
    <w:abstractNumId w:val="8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B06"/>
    <w:rsid w:val="00095CD7"/>
    <w:rsid w:val="00280201"/>
    <w:rsid w:val="00361754"/>
    <w:rsid w:val="004029B5"/>
    <w:rsid w:val="00505A1C"/>
    <w:rsid w:val="00777EF9"/>
    <w:rsid w:val="008A5E6B"/>
    <w:rsid w:val="008E4266"/>
    <w:rsid w:val="00902CBA"/>
    <w:rsid w:val="00A851EF"/>
    <w:rsid w:val="00AD0C03"/>
    <w:rsid w:val="00B12B0F"/>
    <w:rsid w:val="00B16B06"/>
    <w:rsid w:val="00B40848"/>
    <w:rsid w:val="00B67037"/>
    <w:rsid w:val="00BE01A1"/>
    <w:rsid w:val="00C06B4C"/>
    <w:rsid w:val="00C75414"/>
    <w:rsid w:val="00CB596F"/>
    <w:rsid w:val="00EA7E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BD0A9"/>
  <w15:docId w15:val="{16F97084-D285-4054-BBF1-16DC6850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240" w:after="240"/>
      <w:outlineLvl w:val="0"/>
    </w:pPr>
    <w:rPr>
      <w:b/>
      <w:sz w:val="48"/>
      <w:szCs w:val="48"/>
    </w:rPr>
  </w:style>
  <w:style w:type="paragraph" w:styleId="Kop2">
    <w:name w:val="heading 2"/>
    <w:basedOn w:val="Standaard"/>
    <w:next w:val="Standaard"/>
    <w:uiPriority w:val="9"/>
    <w:unhideWhenUsed/>
    <w:qFormat/>
    <w:rsid w:val="00C06B4C"/>
    <w:pPr>
      <w:pBdr>
        <w:top w:val="nil"/>
        <w:left w:val="nil"/>
        <w:bottom w:val="nil"/>
        <w:right w:val="nil"/>
        <w:between w:val="nil"/>
      </w:pBdr>
      <w:spacing w:before="225" w:after="225"/>
      <w:outlineLvl w:val="1"/>
    </w:pPr>
    <w:rPr>
      <w:b/>
      <w:sz w:val="28"/>
      <w:szCs w:val="36"/>
    </w:rPr>
  </w:style>
  <w:style w:type="paragraph" w:styleId="Kop3">
    <w:name w:val="heading 3"/>
    <w:basedOn w:val="Standaard"/>
    <w:next w:val="Standaard"/>
    <w:uiPriority w:val="9"/>
    <w:unhideWhenUsed/>
    <w:qFormat/>
    <w:pPr>
      <w:pBdr>
        <w:top w:val="nil"/>
        <w:left w:val="nil"/>
        <w:bottom w:val="nil"/>
        <w:right w:val="nil"/>
        <w:between w:val="nil"/>
      </w:pBdr>
      <w:spacing w:before="240" w:after="240"/>
      <w:outlineLvl w:val="2"/>
    </w:pPr>
    <w:rPr>
      <w:b/>
      <w:sz w:val="28"/>
      <w:szCs w:val="28"/>
    </w:rPr>
  </w:style>
  <w:style w:type="paragraph" w:styleId="Kop4">
    <w:name w:val="heading 4"/>
    <w:basedOn w:val="Standaard"/>
    <w:next w:val="Standaard"/>
    <w:uiPriority w:val="9"/>
    <w:unhideWhenUsed/>
    <w:qFormat/>
    <w:pPr>
      <w:pBdr>
        <w:top w:val="nil"/>
        <w:left w:val="nil"/>
        <w:bottom w:val="nil"/>
        <w:right w:val="nil"/>
        <w:between w:val="nil"/>
      </w:pBdr>
      <w:spacing w:before="255" w:after="255"/>
      <w:outlineLvl w:val="3"/>
    </w:pPr>
    <w:rPr>
      <w:b/>
      <w:sz w:val="24"/>
      <w:szCs w:val="24"/>
    </w:rPr>
  </w:style>
  <w:style w:type="paragraph" w:styleId="Kop5">
    <w:name w:val="heading 5"/>
    <w:basedOn w:val="Standaard"/>
    <w:next w:val="Standaard"/>
    <w:uiPriority w:val="9"/>
    <w:semiHidden/>
    <w:unhideWhenUsed/>
    <w:qFormat/>
    <w:pPr>
      <w:pBdr>
        <w:top w:val="nil"/>
        <w:left w:val="nil"/>
        <w:bottom w:val="nil"/>
        <w:right w:val="nil"/>
        <w:between w:val="nil"/>
      </w:pBdr>
      <w:spacing w:before="255" w:after="255"/>
      <w:outlineLvl w:val="4"/>
    </w:pPr>
    <w:rPr>
      <w:b/>
      <w:sz w:val="18"/>
      <w:szCs w:val="18"/>
    </w:rPr>
  </w:style>
  <w:style w:type="paragraph" w:styleId="Kop6">
    <w:name w:val="heading 6"/>
    <w:basedOn w:val="Standaard"/>
    <w:next w:val="Standaard"/>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Kopvaninhoudsopgave">
    <w:name w:val="TOC Heading"/>
    <w:basedOn w:val="Kop1"/>
    <w:next w:val="Standaard"/>
    <w:uiPriority w:val="39"/>
    <w:unhideWhenUsed/>
    <w:qFormat/>
    <w:rsid w:val="00A851EF"/>
    <w:pPr>
      <w:keepNext/>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Inhopg1">
    <w:name w:val="toc 1"/>
    <w:basedOn w:val="Standaard"/>
    <w:next w:val="Standaard"/>
    <w:autoRedefine/>
    <w:uiPriority w:val="39"/>
    <w:unhideWhenUsed/>
    <w:rsid w:val="00A851EF"/>
    <w:pPr>
      <w:spacing w:after="100"/>
    </w:pPr>
  </w:style>
  <w:style w:type="paragraph" w:styleId="Inhopg2">
    <w:name w:val="toc 2"/>
    <w:basedOn w:val="Standaard"/>
    <w:next w:val="Standaard"/>
    <w:autoRedefine/>
    <w:uiPriority w:val="39"/>
    <w:unhideWhenUsed/>
    <w:rsid w:val="00A851EF"/>
    <w:pPr>
      <w:spacing w:after="100"/>
      <w:ind w:left="220"/>
    </w:pPr>
  </w:style>
  <w:style w:type="paragraph" w:styleId="Inhopg3">
    <w:name w:val="toc 3"/>
    <w:basedOn w:val="Standaard"/>
    <w:next w:val="Standaard"/>
    <w:autoRedefine/>
    <w:uiPriority w:val="39"/>
    <w:unhideWhenUsed/>
    <w:rsid w:val="00A851EF"/>
    <w:pPr>
      <w:spacing w:after="100"/>
      <w:ind w:left="440"/>
    </w:pPr>
  </w:style>
  <w:style w:type="character" w:styleId="Hyperlink">
    <w:name w:val="Hyperlink"/>
    <w:basedOn w:val="Standaardalinea-lettertype"/>
    <w:uiPriority w:val="99"/>
    <w:unhideWhenUsed/>
    <w:rsid w:val="00A851EF"/>
    <w:rPr>
      <w:color w:val="0000FF" w:themeColor="hyperlink"/>
      <w:u w:val="single"/>
    </w:rPr>
  </w:style>
  <w:style w:type="paragraph" w:styleId="Koptekst">
    <w:name w:val="header"/>
    <w:basedOn w:val="Standaard"/>
    <w:link w:val="KoptekstChar"/>
    <w:uiPriority w:val="99"/>
    <w:unhideWhenUsed/>
    <w:rsid w:val="00B12B0F"/>
    <w:pPr>
      <w:tabs>
        <w:tab w:val="center" w:pos="4536"/>
        <w:tab w:val="right" w:pos="9072"/>
      </w:tabs>
    </w:pPr>
  </w:style>
  <w:style w:type="character" w:customStyle="1" w:styleId="KoptekstChar">
    <w:name w:val="Koptekst Char"/>
    <w:basedOn w:val="Standaardalinea-lettertype"/>
    <w:link w:val="Koptekst"/>
    <w:uiPriority w:val="99"/>
    <w:rsid w:val="00B12B0F"/>
  </w:style>
  <w:style w:type="paragraph" w:styleId="Voettekst">
    <w:name w:val="footer"/>
    <w:basedOn w:val="Standaard"/>
    <w:link w:val="VoettekstChar"/>
    <w:uiPriority w:val="99"/>
    <w:unhideWhenUsed/>
    <w:rsid w:val="00B12B0F"/>
    <w:pPr>
      <w:tabs>
        <w:tab w:val="center" w:pos="4536"/>
        <w:tab w:val="right" w:pos="9072"/>
      </w:tabs>
    </w:pPr>
  </w:style>
  <w:style w:type="character" w:customStyle="1" w:styleId="VoettekstChar">
    <w:name w:val="Voettekst Char"/>
    <w:basedOn w:val="Standaardalinea-lettertype"/>
    <w:link w:val="Voettekst"/>
    <w:uiPriority w:val="99"/>
    <w:rsid w:val="00B1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99E4DF41DA94790E11357BBA94BAB" ma:contentTypeVersion="16" ma:contentTypeDescription="Een nieuw document maken." ma:contentTypeScope="" ma:versionID="e76b06da60b169950914a3c2f5afaf47">
  <xsd:schema xmlns:xsd="http://www.w3.org/2001/XMLSchema" xmlns:xs="http://www.w3.org/2001/XMLSchema" xmlns:p="http://schemas.microsoft.com/office/2006/metadata/properties" xmlns:ns3="23c8632a-74ce-4c32-8fa6-ff9544b12fbc" xmlns:ns4="56525f11-040e-4d85-82b1-cdd277450371" targetNamespace="http://schemas.microsoft.com/office/2006/metadata/properties" ma:root="true" ma:fieldsID="6eeacb29b3ce33dc868daf90f7985224" ns3:_="" ns4:_="">
    <xsd:import namespace="23c8632a-74ce-4c32-8fa6-ff9544b12fbc"/>
    <xsd:import namespace="56525f11-040e-4d85-82b1-cdd277450371"/>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MediaLengthInSeconds" minOccurs="0"/>
                <xsd:element ref="ns3:MediaServiceDateTaken"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8632a-74ce-4c32-8fa6-ff9544b12fbc"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525f11-040e-4d85-82b1-cdd277450371" elementFormDefault="qualified">
    <xsd:import namespace="http://schemas.microsoft.com/office/2006/documentManagement/types"/>
    <xsd:import namespace="http://schemas.microsoft.com/office/infopath/2007/PartnerControls"/>
    <xsd:element name="SharedWithUsers" ma:index="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Gedeeld met details" ma:internalName="SharedWithDetails" ma:readOnly="true">
      <xsd:simpleType>
        <xsd:restriction base="dms:Note">
          <xsd:maxLength value="255"/>
        </xsd:restriction>
      </xsd:simpleType>
    </xsd:element>
    <xsd:element name="SharingHintHash" ma:index="11"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23c8632a-74ce-4c32-8fa6-ff9544b12fbc" xsi:nil="true"/>
  </documentManagement>
</p:properties>
</file>

<file path=customXml/itemProps1.xml><?xml version="1.0" encoding="utf-8"?>
<ds:datastoreItem xmlns:ds="http://schemas.openxmlformats.org/officeDocument/2006/customXml" ds:itemID="{E047B048-781A-43D4-BCD2-F7BBDCD58B70}">
  <ds:schemaRefs>
    <ds:schemaRef ds:uri="http://schemas.microsoft.com/sharepoint/v3/contenttype/forms"/>
  </ds:schemaRefs>
</ds:datastoreItem>
</file>

<file path=customXml/itemProps2.xml><?xml version="1.0" encoding="utf-8"?>
<ds:datastoreItem xmlns:ds="http://schemas.openxmlformats.org/officeDocument/2006/customXml" ds:itemID="{5A60713D-F431-4A80-8A9D-B7D0A6E5B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8632a-74ce-4c32-8fa6-ff9544b12fbc"/>
    <ds:schemaRef ds:uri="56525f11-040e-4d85-82b1-cdd277450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0B97F5-7B32-405C-8686-F164781728F2}">
  <ds:schemaRefs>
    <ds:schemaRef ds:uri="http://schemas.openxmlformats.org/officeDocument/2006/bibliography"/>
  </ds:schemaRefs>
</ds:datastoreItem>
</file>

<file path=customXml/itemProps4.xml><?xml version="1.0" encoding="utf-8"?>
<ds:datastoreItem xmlns:ds="http://schemas.openxmlformats.org/officeDocument/2006/customXml" ds:itemID="{C449E48F-B11E-4E18-AC06-CC18DA8D021B}">
  <ds:schemaRefs>
    <ds:schemaRef ds:uri="http://purl.org/dc/dcmitype/"/>
    <ds:schemaRef ds:uri="http://purl.org/dc/terms/"/>
    <ds:schemaRef ds:uri="http://purl.org/dc/elements/1.1/"/>
    <ds:schemaRef ds:uri="http://schemas.microsoft.com/office/2006/documentManagement/types"/>
    <ds:schemaRef ds:uri="http://www.w3.org/XML/1998/namespace"/>
    <ds:schemaRef ds:uri="http://schemas.microsoft.com/office/infopath/2007/PartnerControls"/>
    <ds:schemaRef ds:uri="23c8632a-74ce-4c32-8fa6-ff9544b12fbc"/>
    <ds:schemaRef ds:uri="http://schemas.microsoft.com/office/2006/metadata/properties"/>
    <ds:schemaRef ds:uri="http://schemas.openxmlformats.org/package/2006/metadata/core-properties"/>
    <ds:schemaRef ds:uri="56525f11-040e-4d85-82b1-cdd27745037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14408</Words>
  <Characters>79247</Characters>
  <Application>Microsoft Office Word</Application>
  <DocSecurity>0</DocSecurity>
  <Lines>660</Lines>
  <Paragraphs>186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Swartjes</dc:creator>
  <cp:keywords/>
  <dc:description/>
  <cp:lastModifiedBy>Kay Swartjes</cp:lastModifiedBy>
  <cp:revision>2</cp:revision>
  <dcterms:created xsi:type="dcterms:W3CDTF">2025-07-31T11:31:00Z</dcterms:created>
  <dcterms:modified xsi:type="dcterms:W3CDTF">2025-07-31T11:31:00Z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0x010100D4599E4DF41DA94790E11357BBA94BAB</vt:lpwstr>
  </property>
</Properties>
</file>